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rFonts w:ascii="Montserrat" w:cs="Montserrat" w:eastAsia="Montserrat" w:hAnsi="Montserrat"/>
          <w:b w:val="1"/>
          <w:color w:val="e36c09"/>
          <w:sz w:val="44"/>
          <w:szCs w:val="44"/>
        </w:rPr>
      </w:pPr>
      <w:r w:rsidDel="00000000" w:rsidR="00000000" w:rsidRPr="00000000">
        <w:rPr>
          <w:rFonts w:ascii="Montserrat" w:cs="Montserrat" w:eastAsia="Montserrat" w:hAnsi="Montserrat"/>
          <w:b w:val="1"/>
          <w:color w:val="e36c09"/>
          <w:sz w:val="44"/>
          <w:szCs w:val="44"/>
        </w:rPr>
        <w:drawing>
          <wp:inline distB="0" distT="0" distL="0" distR="0">
            <wp:extent cx="2410677" cy="1549721"/>
            <wp:effectExtent b="0" l="0" r="0" t="0"/>
            <wp:docPr descr="Logo&#10;&#10;Description automatically generated" id="29" name="image1.png"/>
            <a:graphic>
              <a:graphicData uri="http://schemas.openxmlformats.org/drawingml/2006/picture">
                <pic:pic>
                  <pic:nvPicPr>
                    <pic:cNvPr descr="Logo&#10;&#10;Description automatically generated" id="0" name="image1.png"/>
                    <pic:cNvPicPr preferRelativeResize="0"/>
                  </pic:nvPicPr>
                  <pic:blipFill>
                    <a:blip r:embed="rId7"/>
                    <a:srcRect b="0" l="0" r="0" t="0"/>
                    <a:stretch>
                      <a:fillRect/>
                    </a:stretch>
                  </pic:blipFill>
                  <pic:spPr>
                    <a:xfrm>
                      <a:off x="0" y="0"/>
                      <a:ext cx="2410677" cy="154972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venir" w:cs="Avenir" w:eastAsia="Avenir" w:hAnsi="Avenir"/>
          <w:b w:val="1"/>
          <w:color w:val="00613f"/>
          <w:sz w:val="28"/>
          <w:szCs w:val="28"/>
        </w:rPr>
      </w:pPr>
      <w:r w:rsidDel="00000000" w:rsidR="00000000" w:rsidRPr="00000000">
        <w:rPr>
          <w:rFonts w:ascii="Avenir" w:cs="Avenir" w:eastAsia="Avenir" w:hAnsi="Avenir"/>
          <w:b w:val="1"/>
          <w:color w:val="00613f"/>
          <w:sz w:val="28"/>
          <w:szCs w:val="28"/>
          <w:rtl w:val="0"/>
        </w:rPr>
        <w:t xml:space="preserve">Förderung des Klimabewusstseins und des Umweltengagements junger MigrantInnen durch transformatives Lernen</w:t>
      </w:r>
    </w:p>
    <w:p w:rsidR="00000000" w:rsidDel="00000000" w:rsidP="00000000" w:rsidRDefault="00000000" w:rsidRPr="00000000" w14:paraId="00000003">
      <w:pPr>
        <w:jc w:val="center"/>
        <w:rPr>
          <w:color w:val="000000"/>
        </w:rPr>
      </w:pPr>
      <w:r w:rsidDel="00000000" w:rsidR="00000000" w:rsidRPr="00000000">
        <w:rPr>
          <w:rtl w:val="0"/>
        </w:rPr>
      </w:r>
    </w:p>
    <w:p w:rsidR="00000000" w:rsidDel="00000000" w:rsidP="00000000" w:rsidRDefault="00000000" w:rsidRPr="00000000" w14:paraId="00000004">
      <w:pPr>
        <w:jc w:val="center"/>
        <w:rPr>
          <w:rFonts w:ascii="Montserrat" w:cs="Montserrat" w:eastAsia="Montserrat" w:hAnsi="Montserrat"/>
          <w:b w:val="1"/>
          <w:color w:val="808080"/>
          <w:sz w:val="48"/>
          <w:szCs w:val="48"/>
        </w:rPr>
      </w:pPr>
      <w:r w:rsidDel="00000000" w:rsidR="00000000" w:rsidRPr="00000000">
        <w:rPr>
          <w:b w:val="1"/>
          <w:color w:val="808080"/>
          <w:rtl w:val="0"/>
        </w:rPr>
        <w:t xml:space="preserve">2022-1-BE01-KA220-ADU-000087260</w:t>
      </w:r>
      <w:r w:rsidDel="00000000" w:rsidR="00000000" w:rsidRPr="00000000">
        <w:rPr>
          <w:rtl w:val="0"/>
        </w:rPr>
      </w:r>
    </w:p>
    <w:p w:rsidR="00000000" w:rsidDel="00000000" w:rsidP="00000000" w:rsidRDefault="00000000" w:rsidRPr="00000000" w14:paraId="00000005">
      <w:pPr>
        <w:rPr>
          <w:rFonts w:ascii="Montserrat" w:cs="Montserrat" w:eastAsia="Montserrat" w:hAnsi="Montserrat"/>
          <w:b w:val="1"/>
          <w:color w:val="595959"/>
          <w:sz w:val="44"/>
          <w:szCs w:val="44"/>
        </w:rPr>
      </w:pPr>
      <w:r w:rsidDel="00000000" w:rsidR="00000000" w:rsidRPr="00000000">
        <w:rPr>
          <w:rtl w:val="0"/>
        </w:rPr>
      </w:r>
    </w:p>
    <w:tbl>
      <w:tblPr>
        <w:tblStyle w:val="Table1"/>
        <w:tblW w:w="12171.0" w:type="dxa"/>
        <w:jc w:val="left"/>
        <w:tblInd w:w="-1701.0" w:type="dxa"/>
        <w:tblBorders>
          <w:top w:color="93cddc" w:space="0" w:sz="4" w:val="single"/>
          <w:left w:color="fbd5b5" w:space="0" w:sz="4" w:val="single"/>
          <w:bottom w:color="93cddc" w:space="0" w:sz="4" w:val="single"/>
          <w:right w:color="fbd5b5" w:space="0" w:sz="4" w:val="single"/>
          <w:insideH w:color="93cddc" w:space="0" w:sz="4" w:val="single"/>
          <w:insideV w:color="93cddc" w:space="0" w:sz="4" w:val="single"/>
        </w:tblBorders>
        <w:tblLayout w:type="fixed"/>
        <w:tblLook w:val="0400"/>
      </w:tblPr>
      <w:tblGrid>
        <w:gridCol w:w="12171"/>
        <w:tblGridChange w:id="0">
          <w:tblGrid>
            <w:gridCol w:w="12171"/>
          </w:tblGrid>
        </w:tblGridChange>
      </w:tblGrid>
      <w:tr>
        <w:trPr>
          <w:cantSplit w:val="0"/>
          <w:trHeight w:val="2040" w:hRule="atLeast"/>
          <w:tblHeader w:val="0"/>
        </w:trPr>
        <w:tc>
          <w:tcPr>
            <w:shd w:fill="00613f" w:val="clear"/>
            <w:vAlign w:val="center"/>
          </w:tcPr>
          <w:p w:rsidR="00000000" w:rsidDel="00000000" w:rsidP="00000000" w:rsidRDefault="00000000" w:rsidRPr="00000000" w14:paraId="00000006">
            <w:pPr>
              <w:ind w:left="1020" w:right="998" w:firstLine="0"/>
              <w:jc w:val="center"/>
              <w:rPr>
                <w:rFonts w:ascii="Avenir" w:cs="Avenir" w:eastAsia="Avenir" w:hAnsi="Avenir"/>
                <w:b w:val="1"/>
                <w:color w:val="595959"/>
                <w:sz w:val="32"/>
                <w:szCs w:val="32"/>
              </w:rPr>
            </w:pPr>
            <w:r w:rsidDel="00000000" w:rsidR="00000000" w:rsidRPr="00000000">
              <w:rPr>
                <w:rFonts w:ascii="Avenir" w:cs="Avenir" w:eastAsia="Avenir" w:hAnsi="Avenir"/>
                <w:b w:val="1"/>
                <w:color w:val="ffffff"/>
                <w:sz w:val="36"/>
                <w:szCs w:val="36"/>
                <w:rtl w:val="0"/>
              </w:rPr>
              <w:t xml:space="preserve">WP2. Schulungscurriculum zur Stärkung des Umweltbewusstseins und des Engagements junger MigrantInnen durch transformatives Lernen</w:t>
            </w:r>
            <w:r w:rsidDel="00000000" w:rsidR="00000000" w:rsidRPr="00000000">
              <w:rPr>
                <w:rtl w:val="0"/>
              </w:rPr>
            </w:r>
          </w:p>
        </w:tc>
      </w:tr>
    </w:tbl>
    <w:p w:rsidR="00000000" w:rsidDel="00000000" w:rsidP="00000000" w:rsidRDefault="00000000" w:rsidRPr="00000000" w14:paraId="00000007">
      <w:pPr>
        <w:rPr>
          <w:rFonts w:ascii="Montserrat" w:cs="Montserrat" w:eastAsia="Montserrat" w:hAnsi="Montserrat"/>
          <w:b w:val="1"/>
          <w:color w:val="595959"/>
          <w:sz w:val="44"/>
          <w:szCs w:val="44"/>
        </w:rPr>
      </w:pPr>
      <w:r w:rsidDel="00000000" w:rsidR="00000000" w:rsidRPr="00000000">
        <w:rPr>
          <w:rtl w:val="0"/>
        </w:rPr>
      </w:r>
    </w:p>
    <w:p w:rsidR="00000000" w:rsidDel="00000000" w:rsidP="00000000" w:rsidRDefault="00000000" w:rsidRPr="00000000" w14:paraId="00000008">
      <w:pPr>
        <w:tabs>
          <w:tab w:val="left" w:leader="none" w:pos="4962"/>
        </w:tabs>
        <w:jc w:val="center"/>
        <w:rPr>
          <w:rFonts w:ascii="Avenir" w:cs="Avenir" w:eastAsia="Avenir" w:hAnsi="Avenir"/>
          <w:b w:val="1"/>
          <w:color w:val="808080"/>
          <w:sz w:val="28"/>
          <w:szCs w:val="28"/>
        </w:rPr>
      </w:pPr>
      <w:r w:rsidDel="00000000" w:rsidR="00000000" w:rsidRPr="00000000">
        <w:rPr>
          <w:rFonts w:ascii="Avenir" w:cs="Avenir" w:eastAsia="Avenir" w:hAnsi="Avenir"/>
          <w:b w:val="1"/>
          <w:color w:val="808080"/>
          <w:sz w:val="28"/>
          <w:szCs w:val="28"/>
          <w:rtl w:val="0"/>
        </w:rPr>
        <w:t xml:space="preserve">Lernergebnisse</w:t>
      </w:r>
    </w:p>
    <w:p w:rsidR="00000000" w:rsidDel="00000000" w:rsidP="00000000" w:rsidRDefault="00000000" w:rsidRPr="00000000" w14:paraId="00000009">
      <w:pPr>
        <w:tabs>
          <w:tab w:val="left" w:leader="none" w:pos="4962"/>
        </w:tabs>
        <w:jc w:val="center"/>
        <w:rPr>
          <w:b w:val="1"/>
          <w:i w:val="1"/>
          <w:color w:val="244061"/>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-673099</wp:posOffset>
                </wp:positionH>
                <wp:positionV relativeFrom="paragraph">
                  <wp:posOffset>444500</wp:posOffset>
                </wp:positionV>
                <wp:extent cx="6801485" cy="871855"/>
                <wp:effectExtent b="0" l="0" r="0" t="0"/>
                <wp:wrapNone/>
                <wp:docPr id="16" name=""/>
                <a:graphic>
                  <a:graphicData uri="http://schemas.microsoft.com/office/word/2010/wordprocessingGroup">
                    <wpg:wgp>
                      <wpg:cNvGrpSpPr/>
                      <wpg:grpSpPr>
                        <a:xfrm>
                          <a:off x="1945250" y="3344050"/>
                          <a:ext cx="6801485" cy="871855"/>
                          <a:chOff x="1945250" y="3344050"/>
                          <a:chExt cx="6801500" cy="871900"/>
                        </a:xfrm>
                      </wpg:grpSpPr>
                      <wpg:grpSp>
                        <wpg:cNvGrpSpPr/>
                        <wpg:grpSpPr>
                          <a:xfrm>
                            <a:off x="1945258" y="3344073"/>
                            <a:ext cx="6801485" cy="871855"/>
                            <a:chOff x="0" y="0"/>
                            <a:chExt cx="6801485" cy="871855"/>
                          </a:xfrm>
                        </wpg:grpSpPr>
                        <wps:wsp>
                          <wps:cNvSpPr/>
                          <wps:cNvPr id="3" name="Shape 3"/>
                          <wps:spPr>
                            <a:xfrm>
                              <a:off x="0" y="0"/>
                              <a:ext cx="6801475" cy="871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A picture containing logo&#10;&#10;Description automatically generated" id="47" name="Shape 47"/>
                            <pic:cNvPicPr preferRelativeResize="0"/>
                          </pic:nvPicPr>
                          <pic:blipFill rotWithShape="1">
                            <a:blip r:embed="rId8">
                              <a:alphaModFix/>
                            </a:blip>
                            <a:srcRect b="0" l="0" r="0" t="0"/>
                            <a:stretch/>
                          </pic:blipFill>
                          <pic:spPr>
                            <a:xfrm>
                              <a:off x="2232660" y="220980"/>
                              <a:ext cx="1055370" cy="544195"/>
                            </a:xfrm>
                            <a:prstGeom prst="rect">
                              <a:avLst/>
                            </a:prstGeom>
                            <a:noFill/>
                            <a:ln>
                              <a:noFill/>
                            </a:ln>
                          </pic:spPr>
                        </pic:pic>
                        <pic:pic>
                          <pic:nvPicPr>
                            <pic:cNvPr descr="Logotipo&#10;&#10;Descripción generada automáticamente con confianza baja" id="48" name="Shape 48"/>
                            <pic:cNvPicPr preferRelativeResize="0"/>
                          </pic:nvPicPr>
                          <pic:blipFill rotWithShape="1">
                            <a:blip r:embed="rId9">
                              <a:alphaModFix/>
                            </a:blip>
                            <a:srcRect b="0" l="0" r="0" t="0"/>
                            <a:stretch/>
                          </pic:blipFill>
                          <pic:spPr>
                            <a:xfrm>
                              <a:off x="0" y="160020"/>
                              <a:ext cx="1513205" cy="625475"/>
                            </a:xfrm>
                            <a:prstGeom prst="rect">
                              <a:avLst/>
                            </a:prstGeom>
                            <a:noFill/>
                            <a:ln>
                              <a:noFill/>
                            </a:ln>
                          </pic:spPr>
                        </pic:pic>
                        <pic:pic>
                          <pic:nvPicPr>
                            <pic:cNvPr descr="Un conjunto de letras blancas en un fondo blanco&#10;&#10;Descripción generada automáticamente con confianza media" id="49" name="Shape 49"/>
                            <pic:cNvPicPr preferRelativeResize="0"/>
                          </pic:nvPicPr>
                          <pic:blipFill rotWithShape="1">
                            <a:blip r:embed="rId10">
                              <a:alphaModFix/>
                            </a:blip>
                            <a:srcRect b="0" l="0" r="0" t="0"/>
                            <a:stretch/>
                          </pic:blipFill>
                          <pic:spPr>
                            <a:xfrm>
                              <a:off x="1470660" y="106680"/>
                              <a:ext cx="765175" cy="765175"/>
                            </a:xfrm>
                            <a:prstGeom prst="rect">
                              <a:avLst/>
                            </a:prstGeom>
                            <a:noFill/>
                            <a:ln>
                              <a:noFill/>
                            </a:ln>
                          </pic:spPr>
                        </pic:pic>
                        <pic:pic>
                          <pic:nvPicPr>
                            <pic:cNvPr descr="Forma&#10;&#10;Descripción generada automáticamente con confianza media" id="50" name="Shape 50"/>
                            <pic:cNvPicPr preferRelativeResize="0"/>
                          </pic:nvPicPr>
                          <pic:blipFill rotWithShape="1">
                            <a:blip r:embed="rId11">
                              <a:alphaModFix/>
                            </a:blip>
                            <a:srcRect b="0" l="0" r="0" t="0"/>
                            <a:stretch/>
                          </pic:blipFill>
                          <pic:spPr>
                            <a:xfrm>
                              <a:off x="4488180" y="0"/>
                              <a:ext cx="2014220" cy="845820"/>
                            </a:xfrm>
                            <a:prstGeom prst="rect">
                              <a:avLst/>
                            </a:prstGeom>
                            <a:noFill/>
                            <a:ln>
                              <a:noFill/>
                            </a:ln>
                          </pic:spPr>
                        </pic:pic>
                        <pic:pic>
                          <pic:nvPicPr>
                            <pic:cNvPr descr="Imagen que contiene dibujo&#10;&#10;Descripción generada automáticamente" id="51" name="Shape 51"/>
                            <pic:cNvPicPr preferRelativeResize="0"/>
                          </pic:nvPicPr>
                          <pic:blipFill rotWithShape="1">
                            <a:blip r:embed="rId12">
                              <a:alphaModFix/>
                            </a:blip>
                            <a:srcRect b="0" l="0" r="0" t="0"/>
                            <a:stretch/>
                          </pic:blipFill>
                          <pic:spPr>
                            <a:xfrm>
                              <a:off x="3413760" y="259080"/>
                              <a:ext cx="1363980" cy="454660"/>
                            </a:xfrm>
                            <a:prstGeom prst="rect">
                              <a:avLst/>
                            </a:prstGeom>
                            <a:noFill/>
                            <a:ln>
                              <a:noFill/>
                            </a:ln>
                          </pic:spPr>
                        </pic:pic>
                        <pic:pic>
                          <pic:nvPicPr>
                            <pic:cNvPr descr="Icono&#10;&#10;Descripción generada automáticamente" id="52" name="Shape 52"/>
                            <pic:cNvPicPr preferRelativeResize="0"/>
                          </pic:nvPicPr>
                          <pic:blipFill rotWithShape="1">
                            <a:blip r:embed="rId13">
                              <a:alphaModFix/>
                            </a:blip>
                            <a:srcRect b="0" l="0" r="0" t="0"/>
                            <a:stretch/>
                          </pic:blipFill>
                          <pic:spPr>
                            <a:xfrm>
                              <a:off x="6240780" y="243840"/>
                              <a:ext cx="560705" cy="551815"/>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-673099</wp:posOffset>
                </wp:positionH>
                <wp:positionV relativeFrom="paragraph">
                  <wp:posOffset>444500</wp:posOffset>
                </wp:positionV>
                <wp:extent cx="6801485" cy="871855"/>
                <wp:effectExtent b="0" l="0" r="0" t="0"/>
                <wp:wrapNone/>
                <wp:docPr id="16" name="image18.png"/>
                <a:graphic>
                  <a:graphicData uri="http://schemas.openxmlformats.org/drawingml/2006/picture">
                    <pic:pic>
                      <pic:nvPicPr>
                        <pic:cNvPr id="0" name="image18.png"/>
                        <pic:cNvPicPr preferRelativeResize="0"/>
                      </pic:nvPicPr>
                      <pic:blipFill>
                        <a:blip r:embed="rId14"/>
                        <a:srcRect/>
                        <a:stretch>
                          <a:fillRect/>
                        </a:stretch>
                      </pic:blipFill>
                      <pic:spPr>
                        <a:xfrm>
                          <a:off x="0" y="0"/>
                          <a:ext cx="6801485" cy="871855"/>
                        </a:xfrm>
                        <a:prstGeom prst="rect"/>
                        <a:ln/>
                      </pic:spPr>
                    </pic:pic>
                  </a:graphicData>
                </a:graphic>
              </wp:anchor>
            </w:drawing>
          </mc:Fallback>
        </mc:AlternateContent>
      </w:r>
    </w:p>
    <w:p w:rsidR="00000000" w:rsidDel="00000000" w:rsidP="00000000" w:rsidRDefault="00000000" w:rsidRPr="00000000" w14:paraId="0000000A">
      <w:pPr>
        <w:jc w:val="both"/>
        <w:rPr>
          <w:b w:val="1"/>
        </w:rPr>
      </w:pPr>
      <w:r w:rsidDel="00000000" w:rsidR="00000000" w:rsidRPr="00000000">
        <w:rPr>
          <w:rtl w:val="0"/>
        </w:rPr>
      </w:r>
    </w:p>
    <w:p w:rsidR="00000000" w:rsidDel="00000000" w:rsidP="00000000" w:rsidRDefault="00000000" w:rsidRPr="00000000" w14:paraId="0000000B">
      <w:pPr>
        <w:jc w:val="center"/>
        <w:rPr>
          <w:b w:val="1"/>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1574800</wp:posOffset>
                </wp:positionH>
                <wp:positionV relativeFrom="paragraph">
                  <wp:posOffset>381000</wp:posOffset>
                </wp:positionV>
                <wp:extent cx="4557395" cy="527685"/>
                <wp:effectExtent b="0" l="0" r="0" t="0"/>
                <wp:wrapNone/>
                <wp:docPr id="13" name=""/>
                <a:graphic>
                  <a:graphicData uri="http://schemas.microsoft.com/office/word/2010/wordprocessingShape">
                    <wps:wsp>
                      <wps:cNvSpPr/>
                      <wps:cNvPr id="29" name="Shape 29"/>
                      <wps:spPr>
                        <a:xfrm>
                          <a:off x="3072065" y="3520920"/>
                          <a:ext cx="4547870" cy="51816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200" w:before="0" w:line="275.00000953674316"/>
                              <w:ind w:left="0" w:right="0" w:firstLine="0"/>
                              <w:jc w:val="both"/>
                              <w:textDirection w:val="btLr"/>
                            </w:pPr>
                            <w:r w:rsidDel="00000000" w:rsidR="00000000" w:rsidRPr="00000000">
                              <w:rPr>
                                <w:rFonts w:ascii="Calibri" w:cs="Calibri" w:eastAsia="Calibri" w:hAnsi="Calibri"/>
                                <w:b w:val="0"/>
                                <w:i w:val="1"/>
                                <w:smallCaps w:val="0"/>
                                <w:strike w:val="0"/>
                                <w:color w:val="000000"/>
                                <w:sz w:val="16"/>
                                <w:vertAlign w:val="baseline"/>
                              </w:rPr>
                              <w:t xml:space="preserve">Das MIGreenDEAL-Projekt (2022-1-BE01-KA220-ADU-000087260) wurde mit Unterstützung der Europäischen Kommission finanziert. Die Verantwortung für den Inhalt trägt allein der Verfasser; die Kommission haftet nicht für die weitere Verwendung der darin enthaltenen Angaben.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1574800</wp:posOffset>
                </wp:positionH>
                <wp:positionV relativeFrom="paragraph">
                  <wp:posOffset>381000</wp:posOffset>
                </wp:positionV>
                <wp:extent cx="4557395" cy="527685"/>
                <wp:effectExtent b="0" l="0" r="0" t="0"/>
                <wp:wrapNone/>
                <wp:docPr id="13" name="image15.png"/>
                <a:graphic>
                  <a:graphicData uri="http://schemas.openxmlformats.org/drawingml/2006/picture">
                    <pic:pic>
                      <pic:nvPicPr>
                        <pic:cNvPr id="0" name="image15.png"/>
                        <pic:cNvPicPr preferRelativeResize="0"/>
                      </pic:nvPicPr>
                      <pic:blipFill>
                        <a:blip r:embed="rId15"/>
                        <a:srcRect/>
                        <a:stretch>
                          <a:fillRect/>
                        </a:stretch>
                      </pic:blipFill>
                      <pic:spPr>
                        <a:xfrm>
                          <a:off x="0" y="0"/>
                          <a:ext cx="4557395" cy="52768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-327659</wp:posOffset>
            </wp:positionH>
            <wp:positionV relativeFrom="paragraph">
              <wp:posOffset>432435</wp:posOffset>
            </wp:positionV>
            <wp:extent cx="1722120" cy="360680"/>
            <wp:effectExtent b="0" l="0" r="0" t="0"/>
            <wp:wrapTopAndBottom distB="0" distT="0"/>
            <wp:docPr descr="Texto&#10;&#10;Descripción generada automáticamente" id="28" name="image3.png"/>
            <a:graphic>
              <a:graphicData uri="http://schemas.openxmlformats.org/drawingml/2006/picture">
                <pic:pic>
                  <pic:nvPicPr>
                    <pic:cNvPr descr="Texto&#10;&#10;Descripción generada automáticamente" id="0" name="image3.png"/>
                    <pic:cNvPicPr preferRelativeResize="0"/>
                  </pic:nvPicPr>
                  <pic:blipFill>
                    <a:blip r:embed="rId16"/>
                    <a:srcRect b="0" l="0" r="0" t="0"/>
                    <a:stretch>
                      <a:fillRect/>
                    </a:stretch>
                  </pic:blipFill>
                  <pic:spPr>
                    <a:xfrm>
                      <a:off x="0" y="0"/>
                      <a:ext cx="1722120" cy="360680"/>
                    </a:xfrm>
                    <a:prstGeom prst="rect"/>
                    <a:ln/>
                  </pic:spPr>
                </pic:pic>
              </a:graphicData>
            </a:graphic>
          </wp:anchor>
        </w:drawing>
      </w:r>
    </w:p>
    <w:p w:rsidR="00000000" w:rsidDel="00000000" w:rsidP="00000000" w:rsidRDefault="00000000" w:rsidRPr="00000000" w14:paraId="0000000F">
      <w:pPr>
        <w:ind w:left="3969" w:firstLine="0"/>
        <w:jc w:val="both"/>
        <w:rPr>
          <w:i w:val="1"/>
          <w:sz w:val="16"/>
          <w:szCs w:val="16"/>
        </w:rPr>
      </w:pPr>
      <w:r w:rsidDel="00000000" w:rsidR="00000000" w:rsidRPr="00000000">
        <w:rPr>
          <w:rtl w:val="0"/>
        </w:rPr>
      </w:r>
    </w:p>
    <w:p w:rsidR="00000000" w:rsidDel="00000000" w:rsidP="00000000" w:rsidRDefault="00000000" w:rsidRPr="00000000" w14:paraId="00000010">
      <w:pPr>
        <w:rPr>
          <w:rFonts w:ascii="Avenir" w:cs="Avenir" w:eastAsia="Avenir" w:hAnsi="Avenir"/>
        </w:rPr>
      </w:pPr>
      <w:r w:rsidDel="00000000" w:rsidR="00000000" w:rsidRPr="00000000">
        <w:rPr>
          <w:rtl w:val="0"/>
        </w:rPr>
      </w:r>
    </w:p>
    <w:p w:rsidR="00000000" w:rsidDel="00000000" w:rsidP="00000000" w:rsidRDefault="00000000" w:rsidRPr="00000000" w14:paraId="00000011">
      <w:pPr>
        <w:pStyle w:val="Heading1"/>
        <w:rPr/>
      </w:pPr>
      <w:r w:rsidDel="00000000" w:rsidR="00000000" w:rsidRPr="00000000">
        <w:rPr>
          <w:rtl w:val="0"/>
        </w:rPr>
      </w:r>
    </w:p>
    <w:p w:rsidR="00000000" w:rsidDel="00000000" w:rsidP="00000000" w:rsidRDefault="00000000" w:rsidRPr="00000000" w14:paraId="0000001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76" w:lineRule="auto"/>
        <w:ind w:left="0" w:right="0" w:firstLine="0"/>
        <w:jc w:val="left"/>
        <w:rPr>
          <w:rFonts w:ascii="Calibri" w:cs="Calibri" w:eastAsia="Calibri" w:hAnsi="Calibri"/>
          <w:b w:val="0"/>
          <w:i w:val="0"/>
          <w:smallCaps w:val="0"/>
          <w:strike w:val="0"/>
          <w:color w:val="366091"/>
          <w:sz w:val="28"/>
          <w:szCs w:val="28"/>
          <w:u w:val="none"/>
          <w:shd w:fill="auto" w:val="clear"/>
          <w:vertAlign w:val="baseline"/>
        </w:rPr>
      </w:pPr>
      <w:r w:rsidDel="00000000" w:rsidR="00000000" w:rsidRPr="00000000">
        <w:rPr>
          <w:rFonts w:ascii="Calibri" w:cs="Calibri" w:eastAsia="Calibri" w:hAnsi="Calibri"/>
          <w:b w:val="0"/>
          <w:i w:val="0"/>
          <w:smallCaps w:val="0"/>
          <w:strike w:val="0"/>
          <w:color w:val="366091"/>
          <w:sz w:val="28"/>
          <w:szCs w:val="28"/>
          <w:u w:val="none"/>
          <w:shd w:fill="auto" w:val="clear"/>
          <w:vertAlign w:val="baseline"/>
          <w:rtl w:val="0"/>
        </w:rPr>
        <w:t xml:space="preserve">Inhaltsverzeichnis</w:t>
      </w:r>
    </w:p>
    <w:p w:rsidR="00000000" w:rsidDel="00000000" w:rsidP="00000000" w:rsidRDefault="00000000" w:rsidRPr="00000000" w14:paraId="00000013">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494"/>
            </w:tabs>
            <w:spacing w:after="240" w:before="120" w:line="276"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gjdgxs">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 xml:space="preserve">1. EINFÜHRUNG</w:t>
              <w:tab/>
              <w:t xml:space="preserve">3</w:t>
            </w:r>
          </w:hyperlink>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494"/>
            </w:tabs>
            <w:spacing w:after="240" w:before="120" w:line="276"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30j0zll">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 xml:space="preserve">2. EUROPÄISCHE TRANSPARENZINSTRUMENTE</w:t>
              <w:tab/>
              <w:t xml:space="preserve">4</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494"/>
            </w:tabs>
            <w:spacing w:after="240" w:before="120" w:line="276"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1fob9te">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 xml:space="preserve">3. EUROPÄISCHER QUALIFIKATIONSRAHMEN (EQR)</w:t>
              <w:tab/>
              <w:t xml:space="preserve">6</w:t>
            </w:r>
          </w:hyperlink>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494"/>
            </w:tabs>
            <w:spacing w:after="240" w:before="120" w:line="276"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3znysh7">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 xml:space="preserve">4. SCHULUNGSCURRICULUM ZUR FÖRDERUNG DES UMWELTBEWUSSTSEINS UND -ENGAGEMENTS VON JUNGEN MIGRANTINNEN DURCH TRANSFORMATIVES LERNEN</w:t>
              <w:tab/>
              <w:t xml:space="preserve">8</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2et92p0">
            <w:r w:rsidDel="00000000" w:rsidR="00000000" w:rsidRPr="00000000">
              <w:rPr>
                <w:rFonts w:ascii="Verdana" w:cs="Verdana" w:eastAsia="Verdana" w:hAnsi="Verdana"/>
                <w:b w:val="1"/>
                <w:i w:val="0"/>
                <w:smallCaps w:val="1"/>
                <w:strike w:val="0"/>
                <w:color w:val="000000"/>
                <w:sz w:val="20"/>
                <w:szCs w:val="20"/>
                <w:u w:val="none"/>
                <w:shd w:fill="auto" w:val="clear"/>
                <w:vertAlign w:val="baseline"/>
                <w:rtl w:val="0"/>
              </w:rPr>
              <w:t xml:space="preserve">Einheit 1: Einführung in die wichtigsten Konzepte</w:t>
            </w:r>
          </w:hyperlink>
          <w:hyperlink w:anchor="_heading=h.2et92p0">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ab/>
              <w:t xml:space="preserve">8</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tyjcwt">
            <w:r w:rsidDel="00000000" w:rsidR="00000000" w:rsidRPr="00000000">
              <w:rPr>
                <w:rFonts w:ascii="Verdana" w:cs="Verdana" w:eastAsia="Verdana" w:hAnsi="Verdana"/>
                <w:b w:val="1"/>
                <w:i w:val="0"/>
                <w:smallCaps w:val="1"/>
                <w:strike w:val="0"/>
                <w:color w:val="000000"/>
                <w:sz w:val="20"/>
                <w:szCs w:val="20"/>
                <w:u w:val="none"/>
                <w:shd w:fill="auto" w:val="clear"/>
                <w:vertAlign w:val="baseline"/>
                <w:rtl w:val="0"/>
              </w:rPr>
              <w:t xml:space="preserve">Einheit  2: Umweltbewusstsein und nachhaltiges Leben</w:t>
            </w:r>
          </w:hyperlink>
          <w:hyperlink w:anchor="_heading=h.tyjcwt">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ab/>
              <w:t xml:space="preserve">10</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3dy6vkm">
            <w:r w:rsidDel="00000000" w:rsidR="00000000" w:rsidRPr="00000000">
              <w:rPr>
                <w:rFonts w:ascii="Verdana" w:cs="Verdana" w:eastAsia="Verdana" w:hAnsi="Verdana"/>
                <w:b w:val="1"/>
                <w:i w:val="0"/>
                <w:smallCaps w:val="1"/>
                <w:strike w:val="0"/>
                <w:color w:val="000000"/>
                <w:sz w:val="20"/>
                <w:szCs w:val="20"/>
                <w:u w:val="none"/>
                <w:shd w:fill="auto" w:val="clear"/>
                <w:vertAlign w:val="baseline"/>
                <w:rtl w:val="0"/>
              </w:rPr>
              <w:t xml:space="preserve">Einheit  3:  Ökologische Herausforderungen und ihre Auswirkungen auf MigrantInnen</w:t>
            </w:r>
          </w:hyperlink>
          <w:hyperlink w:anchor="_heading=h.3dy6vkm">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ab/>
              <w:t xml:space="preserve">12</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1t3h5sf">
            <w:r w:rsidDel="00000000" w:rsidR="00000000" w:rsidRPr="00000000">
              <w:rPr>
                <w:rFonts w:ascii="Verdana" w:cs="Verdana" w:eastAsia="Verdana" w:hAnsi="Verdana"/>
                <w:b w:val="1"/>
                <w:i w:val="0"/>
                <w:smallCaps w:val="1"/>
                <w:strike w:val="0"/>
                <w:color w:val="000000"/>
                <w:sz w:val="20"/>
                <w:szCs w:val="20"/>
                <w:u w:val="none"/>
                <w:shd w:fill="auto" w:val="clear"/>
                <w:vertAlign w:val="baseline"/>
                <w:rtl w:val="0"/>
              </w:rPr>
              <w:t xml:space="preserve">Einheit  4: Grüne Jobs und Unternehmertum</w:t>
            </w:r>
          </w:hyperlink>
          <w:hyperlink w:anchor="_heading=h.1t3h5sf">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ab/>
              <w:t xml:space="preserve">14</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4d34og8">
            <w:r w:rsidDel="00000000" w:rsidR="00000000" w:rsidRPr="00000000">
              <w:rPr>
                <w:rFonts w:ascii="Verdana" w:cs="Verdana" w:eastAsia="Verdana" w:hAnsi="Verdana"/>
                <w:b w:val="1"/>
                <w:i w:val="0"/>
                <w:smallCaps w:val="1"/>
                <w:strike w:val="0"/>
                <w:color w:val="000000"/>
                <w:sz w:val="20"/>
                <w:szCs w:val="20"/>
                <w:u w:val="none"/>
                <w:shd w:fill="auto" w:val="clear"/>
                <w:vertAlign w:val="baseline"/>
                <w:rtl w:val="0"/>
              </w:rPr>
              <w:t xml:space="preserve">Einheit  5: Interessenvertretung und bürgerschaftliches Engagement</w:t>
            </w:r>
          </w:hyperlink>
          <w:hyperlink w:anchor="_heading=h.4d34og8">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ab/>
              <w:t xml:space="preserve">16</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2s8eyo1">
            <w:r w:rsidDel="00000000" w:rsidR="00000000" w:rsidRPr="00000000">
              <w:rPr>
                <w:rFonts w:ascii="Verdana" w:cs="Verdana" w:eastAsia="Verdana" w:hAnsi="Verdana"/>
                <w:b w:val="1"/>
                <w:i w:val="0"/>
                <w:smallCaps w:val="1"/>
                <w:strike w:val="0"/>
                <w:color w:val="000000"/>
                <w:sz w:val="20"/>
                <w:szCs w:val="20"/>
                <w:u w:val="none"/>
                <w:shd w:fill="auto" w:val="clear"/>
                <w:vertAlign w:val="baseline"/>
                <w:rtl w:val="0"/>
              </w:rPr>
              <w:t xml:space="preserve">Einheit  6: Persönliche Reflexion und Aktionsplanung</w:t>
            </w:r>
          </w:hyperlink>
          <w:hyperlink w:anchor="_heading=h.2s8eyo1">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ab/>
              <w:t xml:space="preserve">18</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494"/>
            </w:tabs>
            <w:spacing w:after="240" w:before="120" w:line="276"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17dp8vu">
            <w:r w:rsidDel="00000000" w:rsidR="00000000" w:rsidRPr="00000000">
              <w:rPr>
                <w:rFonts w:ascii="Cambria" w:cs="Cambria" w:eastAsia="Cambria" w:hAnsi="Cambria"/>
                <w:b w:val="1"/>
                <w:i w:val="0"/>
                <w:smallCaps w:val="1"/>
                <w:strike w:val="0"/>
                <w:color w:val="000000"/>
                <w:sz w:val="20"/>
                <w:szCs w:val="20"/>
                <w:u w:val="none"/>
                <w:shd w:fill="auto" w:val="clear"/>
                <w:vertAlign w:val="baseline"/>
                <w:rtl w:val="0"/>
              </w:rPr>
              <w:t xml:space="preserve">5. INITIATIVEN ZUR FÖRDERUNG DES UMWELTBEWUSSTSEINS DER JUGEND</w:t>
              <w:tab/>
              <w:t xml:space="preserve">20</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3rdcrjn">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 xml:space="preserve">Freiwilliges Umweltjahr “FUJ” - Voluntary Environmental Year (Österreich)</w:t>
              <w:tab/>
              <w:t xml:space="preserve">20</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26in1rg">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 xml:space="preserve">Empreintes (Belgien)</w:t>
              <w:tab/>
              <w:t xml:space="preserve">21</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lnxbz9">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 xml:space="preserve">Programm "Grüne Flagge” (Griechenland)</w:t>
              <w:tab/>
              <w:t xml:space="preserve">22</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35nkun2">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 xml:space="preserve">Stop Food Waste (Irland)</w:t>
              <w:tab/>
              <w:t xml:space="preserve">24</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8494"/>
            </w:tabs>
            <w:spacing w:after="0" w:before="0" w:line="276" w:lineRule="auto"/>
            <w:ind w:left="220" w:right="0" w:firstLine="0"/>
            <w:jc w:val="left"/>
            <w:rPr>
              <w:rFonts w:ascii="Cambria" w:cs="Cambria" w:eastAsia="Cambria" w:hAnsi="Cambria"/>
              <w:b w:val="0"/>
              <w:i w:val="0"/>
              <w:smallCaps w:val="0"/>
              <w:strike w:val="0"/>
              <w:color w:val="000000"/>
              <w:sz w:val="22"/>
              <w:szCs w:val="22"/>
              <w:u w:val="none"/>
              <w:shd w:fill="auto" w:val="clear"/>
              <w:vertAlign w:val="baseline"/>
            </w:rPr>
          </w:pPr>
          <w:hyperlink w:anchor="_heading=h.1ksv4uv">
            <w:r w:rsidDel="00000000" w:rsidR="00000000" w:rsidRPr="00000000">
              <w:rPr>
                <w:rFonts w:ascii="Cambria" w:cs="Cambria" w:eastAsia="Cambria" w:hAnsi="Cambria"/>
                <w:b w:val="0"/>
                <w:i w:val="0"/>
                <w:smallCaps w:val="1"/>
                <w:strike w:val="0"/>
                <w:color w:val="000000"/>
                <w:sz w:val="20"/>
                <w:szCs w:val="20"/>
                <w:u w:val="none"/>
                <w:shd w:fill="auto" w:val="clear"/>
                <w:vertAlign w:val="baseline"/>
                <w:rtl w:val="0"/>
              </w:rPr>
              <w:t xml:space="preserve">Juventud x el Clima (Spanien)</w:t>
              <w:tab/>
              <w:t xml:space="preserve">25</w:t>
            </w:r>
          </w:hyperlink>
          <w:r w:rsidDel="00000000" w:rsidR="00000000" w:rsidRPr="00000000">
            <w:rPr>
              <w:rtl w:val="0"/>
            </w:rPr>
          </w:r>
        </w:p>
        <w:p w:rsidR="00000000" w:rsidDel="00000000" w:rsidP="00000000" w:rsidRDefault="00000000" w:rsidRPr="00000000" w14:paraId="00000024">
          <w:pPr>
            <w:spacing w:line="360" w:lineRule="auto"/>
            <w:rPr>
              <w:rFonts w:ascii="Avenir" w:cs="Avenir" w:eastAsia="Avenir" w:hAnsi="Aveni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5">
      <w:pPr>
        <w:spacing w:line="360" w:lineRule="auto"/>
        <w:rPr>
          <w:rFonts w:ascii="Avenir" w:cs="Avenir" w:eastAsia="Avenir" w:hAnsi="Avenir"/>
          <w:color w:val="0b7e3d"/>
        </w:rPr>
      </w:pPr>
      <w:r w:rsidDel="00000000" w:rsidR="00000000" w:rsidRPr="00000000">
        <w:br w:type="page"/>
      </w:r>
      <w:r w:rsidDel="00000000" w:rsidR="00000000" w:rsidRPr="00000000">
        <w:rPr>
          <w:rtl w:val="0"/>
        </w:rPr>
      </w:r>
    </w:p>
    <w:p w:rsidR="00000000" w:rsidDel="00000000" w:rsidP="00000000" w:rsidRDefault="00000000" w:rsidRPr="00000000" w14:paraId="00000026">
      <w:pPr>
        <w:pStyle w:val="Heading1"/>
        <w:rPr/>
      </w:pPr>
      <w:bookmarkStart w:colFirst="0" w:colLast="0" w:name="_heading=h.gjdgxs" w:id="0"/>
      <w:bookmarkEnd w:id="0"/>
      <w:r w:rsidDel="00000000" w:rsidR="00000000" w:rsidRPr="00000000">
        <w:rPr>
          <w:rtl w:val="0"/>
        </w:rPr>
        <w:t xml:space="preserve">1. EINFÜHRUNG</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Das vorliegende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Schulungscurriculum zur Stärkung des Umweltbewusstseins und -engagements junger MigrantInnen durch Transformatives Lernen</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definiert und erfasst die Lernergebnisse, die für die Entwicklung der Kompetenz zur Stärkung des Umweltbewusstseins und -engagements junger MigrantInnen durch Transformatives Lernen (TL) erforderlich sind. Zu diesem Zweck haben die Partner in Zusammenarbeit die Kompetenzen und die Lerneinheiten definiert, die die verschiedenen relevanten Bereiche des MIGreenDEAL-Projekts abdecken.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Aus dieser Struktur von Kompetenzen und Lerneinheiten ergeben sich die Lernergebnisse des Schulungscurriculums, die in Form von Kenntnissen, Fertigkeiten und dem Maß an Verantwortung und Selbstständigkeit formuliert werden.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Das Schulungscurriculum umfasst die folgenden </w:t>
      </w:r>
      <w:r w:rsidDel="00000000" w:rsidR="00000000" w:rsidRPr="00000000">
        <w:rPr>
          <w:rFonts w:ascii="Avenir" w:cs="Avenir" w:eastAsia="Avenir" w:hAnsi="Avenir"/>
          <w:b w:val="1"/>
          <w:i w:val="0"/>
          <w:smallCaps w:val="0"/>
          <w:strike w:val="0"/>
          <w:color w:val="000000"/>
          <w:sz w:val="22"/>
          <w:szCs w:val="22"/>
          <w:u w:val="none"/>
          <w:shd w:fill="auto" w:val="clear"/>
          <w:vertAlign w:val="baseline"/>
          <w:rtl w:val="0"/>
        </w:rPr>
        <w:t xml:space="preserve">relevanten Bereiche (Lerneinheiten):</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280" w:line="240"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Einführung in Schlüsselkonzepte </w:t>
      </w:r>
    </w:p>
    <w:p w:rsidR="00000000" w:rsidDel="00000000" w:rsidP="00000000" w:rsidRDefault="00000000" w:rsidRPr="00000000" w14:paraId="0000002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Umweltbewusstsein und nachhaltiges Leben</w:t>
      </w:r>
    </w:p>
    <w:p w:rsidR="00000000" w:rsidDel="00000000" w:rsidP="00000000" w:rsidRDefault="00000000" w:rsidRPr="00000000" w14:paraId="0000002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Ökologische Herausforderungen und ihre Auswirkungen auf MigrantInnen</w:t>
      </w:r>
    </w:p>
    <w:p w:rsidR="00000000" w:rsidDel="00000000" w:rsidP="00000000" w:rsidRDefault="00000000" w:rsidRPr="00000000" w14:paraId="0000002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Grüne Arbeitsplätze und Unternehmertum</w:t>
      </w:r>
    </w:p>
    <w:p w:rsidR="00000000" w:rsidDel="00000000" w:rsidP="00000000" w:rsidRDefault="00000000" w:rsidRPr="00000000" w14:paraId="0000002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Interessenvertretung und bürgerschaftliches Engagement</w:t>
      </w:r>
    </w:p>
    <w:p w:rsidR="00000000" w:rsidDel="00000000" w:rsidP="00000000" w:rsidRDefault="00000000" w:rsidRPr="00000000" w14:paraId="0000003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Persönliche Reflexion und Aktionsplanung</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spacing w:after="160" w:lineRule="auto"/>
        <w:rPr>
          <w:rFonts w:ascii="Avenir" w:cs="Avenir" w:eastAsia="Avenir" w:hAnsi="Avenir"/>
        </w:rPr>
      </w:pPr>
      <w:r w:rsidDel="00000000" w:rsidR="00000000" w:rsidRPr="00000000">
        <w:rPr>
          <w:rFonts w:ascii="Avenir" w:cs="Avenir" w:eastAsia="Avenir" w:hAnsi="Avenir"/>
          <w:rtl w:val="0"/>
        </w:rPr>
        <w:t xml:space="preserve">Das HE2. Schulungscurriculum wird die Grundlage für die Entwicklung der folgenden </w:t>
      </w:r>
      <w:r w:rsidDel="00000000" w:rsidR="00000000" w:rsidRPr="00000000">
        <w:rPr>
          <w:rFonts w:ascii="Avenir" w:cs="Avenir" w:eastAsia="Avenir" w:hAnsi="Avenir"/>
          <w:b w:val="1"/>
          <w:rtl w:val="0"/>
        </w:rPr>
        <w:t xml:space="preserve">Hauptergebnisse (HE)</w:t>
      </w:r>
      <w:r w:rsidDel="00000000" w:rsidR="00000000" w:rsidRPr="00000000">
        <w:rPr>
          <w:rFonts w:ascii="Avenir" w:cs="Avenir" w:eastAsia="Avenir" w:hAnsi="Avenir"/>
          <w:rtl w:val="0"/>
        </w:rPr>
        <w:t xml:space="preserve"> des Projekts  bilden</w:t>
      </w:r>
      <w:r w:rsidDel="00000000" w:rsidR="00000000" w:rsidRPr="00000000">
        <w:rPr>
          <w:rFonts w:ascii="Avenir" w:cs="Avenir" w:eastAsia="Avenir" w:hAnsi="Avenir"/>
          <w:b w:val="1"/>
          <w:rtl w:val="0"/>
        </w:rPr>
        <w:t xml:space="preserve">:</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HE3. Online-Kurs für Erwachsene PädagogInnen, GemeindeleiterInnen und MediatorInnen </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HE4. MIGreenDEAL e-Learning Plattform</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HE5. MIGreenDEAL Persönliche RoadmApp</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HE6. Toolkit für Erwachsene PädagogInnen, GemeindeleiterInnen und MediatorInnen</w:t>
      </w:r>
    </w:p>
    <w:p w:rsidR="00000000" w:rsidDel="00000000" w:rsidP="00000000" w:rsidRDefault="00000000" w:rsidRPr="00000000" w14:paraId="00000037">
      <w:pPr>
        <w:spacing w:after="160" w:lineRule="auto"/>
        <w:rPr>
          <w:rFonts w:ascii="Avenir" w:cs="Avenir" w:eastAsia="Avenir" w:hAnsi="Avenir"/>
          <w:b w:val="1"/>
        </w:rPr>
      </w:pPr>
      <w:r w:rsidDel="00000000" w:rsidR="00000000" w:rsidRPr="00000000">
        <w:rPr>
          <w:rtl w:val="0"/>
        </w:rPr>
      </w:r>
    </w:p>
    <w:p w:rsidR="00000000" w:rsidDel="00000000" w:rsidP="00000000" w:rsidRDefault="00000000" w:rsidRPr="00000000" w14:paraId="00000038">
      <w:pPr>
        <w:spacing w:after="160" w:lineRule="auto"/>
        <w:rPr>
          <w:rFonts w:ascii="Avenir" w:cs="Avenir" w:eastAsia="Avenir" w:hAnsi="Avenir"/>
          <w:b w:val="1"/>
          <w:color w:val="0b7e3d"/>
        </w:rPr>
      </w:pPr>
      <w:r w:rsidDel="00000000" w:rsidR="00000000" w:rsidRPr="00000000">
        <w:rPr>
          <w:rFonts w:ascii="Avenir" w:cs="Avenir" w:eastAsia="Avenir" w:hAnsi="Avenir"/>
          <w:b w:val="1"/>
          <w:color w:val="0b7e3d"/>
          <w:rtl w:val="0"/>
        </w:rPr>
        <w:t xml:space="preserve">Methodologie zur Erstellung des Schulungscurriculums</w:t>
      </w:r>
    </w:p>
    <w:p w:rsidR="00000000" w:rsidDel="00000000" w:rsidP="00000000" w:rsidRDefault="00000000" w:rsidRPr="00000000" w14:paraId="00000039">
      <w:pPr>
        <w:spacing w:after="160" w:lineRule="auto"/>
        <w:rPr>
          <w:rFonts w:ascii="Avenir" w:cs="Avenir" w:eastAsia="Avenir" w:hAnsi="Avenir"/>
          <w:b w:val="1"/>
          <w:i w:val="1"/>
          <w:color w:val="0b7e3d"/>
        </w:rPr>
      </w:pPr>
      <w:r w:rsidDel="00000000" w:rsidR="00000000" w:rsidRPr="00000000">
        <w:rPr>
          <w:rFonts w:ascii="Avenir" w:cs="Avenir" w:eastAsia="Avenir" w:hAnsi="Avenir"/>
          <w:b w:val="1"/>
          <w:i w:val="1"/>
          <w:color w:val="0b7e3d"/>
          <w:rtl w:val="0"/>
        </w:rPr>
        <w:t xml:space="preserve">Theoretischer Rahmen</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Für die Erstellung des Schulungscurriculums wurde ein theoretischer Rahmen geschaffen, der als Grundlage für die Definition von Kompetenzen und Lerneinheiten dient, die die Lernergebnisse strukturieren (ausgedrückt in Wissen, Fertigkeiten, Verantwortung und Autonomie), die von PädagogInnen, GemeindeleiterInnen und MediatorInnen erreicht werden sollen. </w:t>
      </w:r>
    </w:p>
    <w:p w:rsidR="00000000" w:rsidDel="00000000" w:rsidP="00000000" w:rsidRDefault="00000000" w:rsidRPr="00000000" w14:paraId="0000003B">
      <w:pPr>
        <w:spacing w:after="160" w:lineRule="auto"/>
        <w:jc w:val="both"/>
        <w:rPr>
          <w:rFonts w:ascii="Avenir" w:cs="Avenir" w:eastAsia="Avenir" w:hAnsi="Avenir"/>
        </w:rPr>
      </w:pPr>
      <w:r w:rsidDel="00000000" w:rsidR="00000000" w:rsidRPr="00000000">
        <w:rPr>
          <w:rFonts w:ascii="Avenir" w:cs="Avenir" w:eastAsia="Avenir" w:hAnsi="Avenir"/>
          <w:rtl w:val="0"/>
        </w:rPr>
        <w:t xml:space="preserve">Der theoretische Rahmen enthält:</w:t>
      </w:r>
    </w:p>
    <w:p w:rsidR="00000000" w:rsidDel="00000000" w:rsidP="00000000" w:rsidRDefault="00000000" w:rsidRPr="00000000" w14:paraId="0000003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280" w:line="240"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1"/>
          <w:smallCaps w:val="0"/>
          <w:strike w:val="0"/>
          <w:color w:val="000000"/>
          <w:sz w:val="22"/>
          <w:szCs w:val="22"/>
          <w:u w:val="none"/>
          <w:shd w:fill="auto" w:val="clear"/>
          <w:vertAlign w:val="baseline"/>
          <w:rtl w:val="0"/>
        </w:rPr>
        <w:t xml:space="preserve">Eine kurze Analyse des Europäischen Qualifikationsrahmens</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der nationalen Qualifikationsrahmen und der Umsetzung der ECVET-Leitlinien in den Teilnehmerländern.</w:t>
      </w:r>
    </w:p>
    <w:p w:rsidR="00000000" w:rsidDel="00000000" w:rsidP="00000000" w:rsidRDefault="00000000" w:rsidRPr="00000000" w14:paraId="0000003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Analyse der besten Praktiken zur Entwicklung grüner Kompetenzen</w:t>
      </w:r>
    </w:p>
    <w:p w:rsidR="00000000" w:rsidDel="00000000" w:rsidP="00000000" w:rsidRDefault="00000000" w:rsidRPr="00000000" w14:paraId="0000003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1"/>
          <w:smallCaps w:val="0"/>
          <w:strike w:val="0"/>
          <w:color w:val="000000"/>
          <w:sz w:val="22"/>
          <w:szCs w:val="22"/>
          <w:u w:val="none"/>
          <w:shd w:fill="auto" w:val="clear"/>
          <w:vertAlign w:val="baseline"/>
          <w:rtl w:val="0"/>
        </w:rPr>
        <w:t xml:space="preserve">Einigung über die Struktur des Curriculums</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1"/>
          <w:smallCaps w:val="0"/>
          <w:strike w:val="0"/>
          <w:color w:val="000000"/>
          <w:sz w:val="22"/>
          <w:szCs w:val="22"/>
          <w:u w:val="none"/>
          <w:shd w:fill="auto" w:val="clear"/>
          <w:vertAlign w:val="baseline"/>
          <w:rtl w:val="0"/>
        </w:rPr>
        <w:t xml:space="preserve">Vorschlag von Lerneinheiten</w:t>
      </w: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 als eine zusammenhängende Sammlung von abgegrenzten Bildungseinheiten, die in den Lehrplan aufgenommen werden sollen, um die Übertragung und Anerkennung von Lernergebnissen zu verbessern. </w:t>
      </w:r>
    </w:p>
    <w:p w:rsidR="00000000" w:rsidDel="00000000" w:rsidP="00000000" w:rsidRDefault="00000000" w:rsidRPr="00000000" w14:paraId="00000040">
      <w:pPr>
        <w:spacing w:after="160" w:lineRule="auto"/>
        <w:rPr>
          <w:rFonts w:ascii="Avenir" w:cs="Avenir" w:eastAsia="Avenir" w:hAnsi="Avenir"/>
          <w:b w:val="1"/>
          <w:i w:val="1"/>
          <w:color w:val="f79646"/>
        </w:rPr>
      </w:pPr>
      <w:r w:rsidDel="00000000" w:rsidR="00000000" w:rsidRPr="00000000">
        <w:rPr>
          <w:rtl w:val="0"/>
        </w:rPr>
      </w:r>
    </w:p>
    <w:p w:rsidR="00000000" w:rsidDel="00000000" w:rsidP="00000000" w:rsidRDefault="00000000" w:rsidRPr="00000000" w14:paraId="00000041">
      <w:pPr>
        <w:spacing w:after="160" w:lineRule="auto"/>
        <w:rPr>
          <w:rFonts w:ascii="Avenir" w:cs="Avenir" w:eastAsia="Avenir" w:hAnsi="Avenir"/>
          <w:b w:val="1"/>
          <w:i w:val="1"/>
          <w:color w:val="f79646"/>
        </w:rPr>
      </w:pPr>
      <w:r w:rsidDel="00000000" w:rsidR="00000000" w:rsidRPr="00000000">
        <w:rPr>
          <w:rtl w:val="0"/>
        </w:rPr>
      </w:r>
    </w:p>
    <w:p w:rsidR="00000000" w:rsidDel="00000000" w:rsidP="00000000" w:rsidRDefault="00000000" w:rsidRPr="00000000" w14:paraId="00000042">
      <w:pPr>
        <w:spacing w:after="160" w:lineRule="auto"/>
        <w:rPr>
          <w:rFonts w:ascii="Avenir" w:cs="Avenir" w:eastAsia="Avenir" w:hAnsi="Avenir"/>
          <w:b w:val="1"/>
          <w:i w:val="1"/>
          <w:color w:val="0b7e3d"/>
        </w:rPr>
      </w:pPr>
      <w:r w:rsidDel="00000000" w:rsidR="00000000" w:rsidRPr="00000000">
        <w:rPr>
          <w:rFonts w:ascii="Avenir" w:cs="Avenir" w:eastAsia="Avenir" w:hAnsi="Avenir"/>
          <w:b w:val="1"/>
          <w:i w:val="1"/>
          <w:color w:val="0b7e3d"/>
          <w:rtl w:val="0"/>
        </w:rPr>
        <w:t xml:space="preserve">Pädagogische Methodologien </w:t>
      </w:r>
    </w:p>
    <w:p w:rsidR="00000000" w:rsidDel="00000000" w:rsidP="00000000" w:rsidRDefault="00000000" w:rsidRPr="00000000" w14:paraId="00000043">
      <w:pPr>
        <w:spacing w:after="160" w:lineRule="auto"/>
        <w:rPr>
          <w:rFonts w:ascii="Avenir" w:cs="Avenir" w:eastAsia="Avenir" w:hAnsi="Avenir"/>
        </w:rPr>
      </w:pPr>
      <w:r w:rsidDel="00000000" w:rsidR="00000000" w:rsidRPr="00000000">
        <w:rPr>
          <w:rFonts w:ascii="Avenir" w:cs="Avenir" w:eastAsia="Avenir" w:hAnsi="Avenir"/>
          <w:rtl w:val="0"/>
        </w:rPr>
        <w:t xml:space="preserve">Die pädagogischen Methodologien, die im Schulungscurriculum angewandt werden, sind:</w:t>
      </w:r>
    </w:p>
    <w:p w:rsidR="00000000" w:rsidDel="00000000" w:rsidP="00000000" w:rsidRDefault="00000000" w:rsidRPr="00000000" w14:paraId="0000004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rFonts w:ascii="Avenir" w:cs="Avenir" w:eastAsia="Avenir" w:hAnsi="Avenir"/>
          <w:b w:val="0"/>
          <w:i w:val="1"/>
          <w:smallCaps w:val="0"/>
          <w:strike w:val="0"/>
          <w:color w:val="000000"/>
          <w:sz w:val="22"/>
          <w:szCs w:val="22"/>
          <w:u w:val="none"/>
          <w:shd w:fill="auto" w:val="clear"/>
          <w:vertAlign w:val="baseline"/>
        </w:rPr>
      </w:pPr>
      <w:r w:rsidDel="00000000" w:rsidR="00000000" w:rsidRPr="00000000">
        <w:rPr>
          <w:rFonts w:ascii="Avenir" w:cs="Avenir" w:eastAsia="Avenir" w:hAnsi="Avenir"/>
          <w:b w:val="0"/>
          <w:i w:val="1"/>
          <w:smallCaps w:val="0"/>
          <w:strike w:val="0"/>
          <w:color w:val="000000"/>
          <w:sz w:val="22"/>
          <w:szCs w:val="22"/>
          <w:u w:val="none"/>
          <w:shd w:fill="auto" w:val="clear"/>
          <w:vertAlign w:val="baseline"/>
          <w:rtl w:val="0"/>
        </w:rPr>
        <w:t xml:space="preserve">Transformatives Lernen</w:t>
      </w:r>
    </w:p>
    <w:p w:rsidR="00000000" w:rsidDel="00000000" w:rsidP="00000000" w:rsidRDefault="00000000" w:rsidRPr="00000000" w14:paraId="00000045">
      <w:pPr>
        <w:spacing w:after="160" w:lineRule="auto"/>
        <w:jc w:val="both"/>
        <w:rPr>
          <w:rFonts w:ascii="Avenir" w:cs="Avenir" w:eastAsia="Avenir" w:hAnsi="Avenir"/>
          <w:i w:val="1"/>
          <w:color w:val="000000"/>
        </w:rPr>
      </w:pPr>
      <w:r w:rsidDel="00000000" w:rsidR="00000000" w:rsidRPr="00000000">
        <w:rPr>
          <w:rFonts w:ascii="Avenir" w:cs="Avenir" w:eastAsia="Avenir" w:hAnsi="Avenir"/>
          <w:i w:val="1"/>
          <w:color w:val="000000"/>
          <w:rtl w:val="0"/>
        </w:rPr>
        <w:t xml:space="preserve">Transformatives Lernen lässt sich in erster Linie durch seine Ziele und Grundsätze definieren, nicht durch eine konkrete Lehr- oder Lernstrategie. Es zielt darauf ab, die Lernenden zu befähigen, ihre Sicht- und Denkweisen über die Welt zu hinterfragen und zu verändern, um ihr Verständnis der Welt weiterzuentwickeln (Mezirow, 2000; Slavich und Zimbardo, 2012). Der Pädagoge fungiert als Vermittler, der die Lernenden dazu befähigt und herausfordert, ihre Weltanschauungen zu ändern. Das verwandte Konzept des transgressiven Lernens (Lotz-Sisitka et al., 2015) geht noch einen Schritt weiter - es besagt, dass das Lernen in BNE den Status quo überwinden und die Lernenden auf ein disruptives Denken und die gemeinsame Schaffung von neuem Wissen vorbereiten muss.</w:t>
      </w:r>
    </w:p>
    <w:p w:rsidR="00000000" w:rsidDel="00000000" w:rsidP="00000000" w:rsidRDefault="00000000" w:rsidRPr="00000000" w14:paraId="00000046">
      <w:pPr>
        <w:spacing w:after="160" w:lineRule="auto"/>
        <w:rPr>
          <w:rFonts w:ascii="Avenir" w:cs="Avenir" w:eastAsia="Avenir" w:hAnsi="Avenir"/>
        </w:rPr>
      </w:pPr>
      <w:r w:rsidDel="00000000" w:rsidR="00000000" w:rsidRPr="00000000">
        <w:rPr>
          <w:rFonts w:ascii="Avenir" w:cs="Avenir" w:eastAsia="Avenir" w:hAnsi="Avenir"/>
          <w:rtl w:val="0"/>
        </w:rPr>
        <w:t xml:space="preserve">(Issues and Trends in Education for Sustainable Development, UNESCO, s. 49)</w:t>
      </w:r>
    </w:p>
    <w:p w:rsidR="00000000" w:rsidDel="00000000" w:rsidP="00000000" w:rsidRDefault="00000000" w:rsidRPr="00000000" w14:paraId="0000004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rFonts w:ascii="Avenir" w:cs="Avenir" w:eastAsia="Avenir" w:hAnsi="Avenir"/>
          <w:b w:val="0"/>
          <w:i w:val="1"/>
          <w:smallCaps w:val="0"/>
          <w:strike w:val="0"/>
          <w:color w:val="000000"/>
          <w:sz w:val="22"/>
          <w:szCs w:val="22"/>
          <w:u w:val="none"/>
          <w:shd w:fill="auto" w:val="clear"/>
          <w:vertAlign w:val="baseline"/>
        </w:rPr>
      </w:pPr>
      <w:r w:rsidDel="00000000" w:rsidR="00000000" w:rsidRPr="00000000">
        <w:rPr>
          <w:rFonts w:ascii="Avenir" w:cs="Avenir" w:eastAsia="Avenir" w:hAnsi="Avenir"/>
          <w:b w:val="0"/>
          <w:i w:val="1"/>
          <w:smallCaps w:val="0"/>
          <w:strike w:val="0"/>
          <w:color w:val="000000"/>
          <w:sz w:val="22"/>
          <w:szCs w:val="22"/>
          <w:u w:val="none"/>
          <w:shd w:fill="auto" w:val="clear"/>
          <w:vertAlign w:val="baseline"/>
          <w:rtl w:val="0"/>
        </w:rPr>
        <w:t xml:space="preserve">Persönliches Roadmapping </w:t>
      </w:r>
    </w:p>
    <w:p w:rsidR="00000000" w:rsidDel="00000000" w:rsidP="00000000" w:rsidRDefault="00000000" w:rsidRPr="00000000" w14:paraId="00000048">
      <w:pPr>
        <w:rPr>
          <w:rFonts w:ascii="Avenir" w:cs="Avenir" w:eastAsia="Avenir" w:hAnsi="Avenir"/>
        </w:rPr>
      </w:pPr>
      <w:r w:rsidDel="00000000" w:rsidR="00000000" w:rsidRPr="00000000">
        <w:rPr>
          <w:rFonts w:ascii="Avenir" w:cs="Avenir" w:eastAsia="Avenir" w:hAnsi="Avenir"/>
          <w:rtl w:val="0"/>
        </w:rPr>
        <w:t xml:space="preserve">Eine Roadmap ist ein strategisches Instrument zur Darstellung von Zielen und den dafür erforderlichen Meilensteinen. Roadmaps geben eine klare Vorstellung von der Vision und der Richtung eines Unternehmens. Eine persönliche Roadmap ist ein Aktionsplan für die Erreichung Ihrer persönlichen Ziele. Sie können Ihre eigenen Meilensteine festlegen, um sich zum Weitermachen zu motivieren.</w:t>
      </w:r>
    </w:p>
    <w:p w:rsidR="00000000" w:rsidDel="00000000" w:rsidP="00000000" w:rsidRDefault="00000000" w:rsidRPr="00000000" w14:paraId="00000049">
      <w:pPr>
        <w:rPr>
          <w:rFonts w:ascii="Avenir" w:cs="Avenir" w:eastAsia="Avenir" w:hAnsi="Avenir"/>
        </w:rPr>
      </w:pPr>
      <w:r w:rsidDel="00000000" w:rsidR="00000000" w:rsidRPr="00000000">
        <w:rPr>
          <w:rFonts w:ascii="Avenir" w:cs="Avenir" w:eastAsia="Avenir" w:hAnsi="Avenir"/>
          <w:rtl w:val="0"/>
        </w:rPr>
        <w:t xml:space="preserve">Die persönliche Roadmap maximiert die Einbindung der Mitglieder in den Planungsprozess, fördert den Konsens und erhöht die Wahrscheinlichkeit, dass die TeilnehmerInnen die Ziele der Roadmap umsetzen.</w:t>
      </w:r>
    </w:p>
    <w:p w:rsidR="00000000" w:rsidDel="00000000" w:rsidP="00000000" w:rsidRDefault="00000000" w:rsidRPr="00000000" w14:paraId="0000004A">
      <w:pPr>
        <w:spacing w:after="160" w:lineRule="auto"/>
        <w:rPr>
          <w:rFonts w:ascii="Avenir" w:cs="Avenir" w:eastAsia="Avenir" w:hAnsi="Avenir"/>
        </w:rPr>
      </w:pPr>
      <w:r w:rsidDel="00000000" w:rsidR="00000000" w:rsidRPr="00000000">
        <w:rPr>
          <w:rtl w:val="0"/>
        </w:rPr>
      </w:r>
    </w:p>
    <w:p w:rsidR="00000000" w:rsidDel="00000000" w:rsidP="00000000" w:rsidRDefault="00000000" w:rsidRPr="00000000" w14:paraId="0000004B">
      <w:pPr>
        <w:spacing w:after="160" w:lineRule="auto"/>
        <w:jc w:val="both"/>
        <w:rPr>
          <w:rFonts w:ascii="Avenir" w:cs="Avenir" w:eastAsia="Avenir" w:hAnsi="Avenir"/>
          <w:b w:val="1"/>
          <w:i w:val="1"/>
          <w:color w:val="0b7e3d"/>
        </w:rPr>
      </w:pPr>
      <w:r w:rsidDel="00000000" w:rsidR="00000000" w:rsidRPr="00000000">
        <w:rPr>
          <w:rFonts w:ascii="Avenir" w:cs="Avenir" w:eastAsia="Avenir" w:hAnsi="Avenir"/>
          <w:b w:val="1"/>
          <w:i w:val="1"/>
          <w:color w:val="0b7e3d"/>
          <w:rtl w:val="0"/>
        </w:rPr>
        <w:t xml:space="preserve">Referenzdokument</w:t>
      </w:r>
    </w:p>
    <w:p w:rsidR="00000000" w:rsidDel="00000000" w:rsidP="00000000" w:rsidRDefault="00000000" w:rsidRPr="00000000" w14:paraId="0000004C">
      <w:pPr>
        <w:spacing w:after="160" w:lineRule="auto"/>
        <w:jc w:val="both"/>
        <w:rPr>
          <w:rFonts w:ascii="Avenir" w:cs="Avenir" w:eastAsia="Avenir" w:hAnsi="Avenir"/>
        </w:rPr>
      </w:pPr>
      <w:r w:rsidDel="00000000" w:rsidR="00000000" w:rsidRPr="00000000">
        <w:rPr>
          <w:rFonts w:ascii="Avenir" w:cs="Avenir" w:eastAsia="Avenir" w:hAnsi="Avenir"/>
          <w:rtl w:val="0"/>
        </w:rPr>
        <w:t xml:space="preserve">Der </w:t>
      </w:r>
      <w:r w:rsidDel="00000000" w:rsidR="00000000" w:rsidRPr="00000000">
        <w:rPr>
          <w:rFonts w:ascii="Avenir" w:cs="Avenir" w:eastAsia="Avenir" w:hAnsi="Avenir"/>
          <w:b w:val="1"/>
          <w:rtl w:val="0"/>
        </w:rPr>
        <w:t xml:space="preserve">Europäische Grüne Deal</w:t>
      </w:r>
      <w:r w:rsidDel="00000000" w:rsidR="00000000" w:rsidRPr="00000000">
        <w:rPr>
          <w:rFonts w:ascii="Avenir" w:cs="Avenir" w:eastAsia="Avenir" w:hAnsi="Avenir"/>
          <w:rtl w:val="0"/>
        </w:rPr>
        <w:t xml:space="preserve"> ist das wichtigste Referenzdokument. Es handelt sich um eine Reihe politischer Initiativen, die von der Europäischen Kommission im Jahr 2019 mit dem Ziel entwickelt wurden, bis 2050 Klimaneutralität in Europa zu erreichen. Die Richtlinie konzentriert sich auf die Ankurbelung der Wirtschaft durch grüne Technologien wie Wasserstoff und Brennstoffzellen, die Schaffung einer nachhaltigen Industrie und Fertigung sowie die Verringerung der Umweltverschmutzung.</w:t>
      </w:r>
    </w:p>
    <w:p w:rsidR="00000000" w:rsidDel="00000000" w:rsidP="00000000" w:rsidRDefault="00000000" w:rsidRPr="00000000" w14:paraId="0000004D">
      <w:pPr>
        <w:rPr>
          <w:rFonts w:ascii="Avenir" w:cs="Avenir" w:eastAsia="Avenir" w:hAnsi="Avenir"/>
        </w:rPr>
      </w:pPr>
      <w:r w:rsidDel="00000000" w:rsidR="00000000" w:rsidRPr="00000000">
        <w:rPr>
          <w:rtl w:val="0"/>
        </w:rPr>
      </w:r>
    </w:p>
    <w:p w:rsidR="00000000" w:rsidDel="00000000" w:rsidP="00000000" w:rsidRDefault="00000000" w:rsidRPr="00000000" w14:paraId="0000004E">
      <w:pPr>
        <w:pStyle w:val="Heading1"/>
        <w:rPr/>
      </w:pPr>
      <w:bookmarkStart w:colFirst="0" w:colLast="0" w:name="_heading=h.30j0zll" w:id="1"/>
      <w:bookmarkEnd w:id="1"/>
      <w:r w:rsidDel="00000000" w:rsidR="00000000" w:rsidRPr="00000000">
        <w:rPr>
          <w:rtl w:val="0"/>
        </w:rPr>
        <w:t xml:space="preserve">2. EUROPÄISCHE TRANSPARENZINSTRUMENTE</w:t>
      </w:r>
    </w:p>
    <w:p w:rsidR="00000000" w:rsidDel="00000000" w:rsidP="00000000" w:rsidRDefault="00000000" w:rsidRPr="00000000" w14:paraId="0000004F">
      <w:pPr>
        <w:jc w:val="both"/>
        <w:rPr/>
      </w:pPr>
      <w:r w:rsidDel="00000000" w:rsidR="00000000" w:rsidRPr="00000000">
        <w:rPr>
          <w:rtl w:val="0"/>
        </w:rPr>
      </w:r>
    </w:p>
    <w:p w:rsidR="00000000" w:rsidDel="00000000" w:rsidP="00000000" w:rsidRDefault="00000000" w:rsidRPr="00000000" w14:paraId="00000050">
      <w:pPr>
        <w:jc w:val="both"/>
        <w:rPr>
          <w:rFonts w:ascii="Avenir" w:cs="Avenir" w:eastAsia="Avenir" w:hAnsi="Avenir"/>
        </w:rPr>
      </w:pPr>
      <w:r w:rsidDel="00000000" w:rsidR="00000000" w:rsidRPr="00000000">
        <w:rPr>
          <w:rFonts w:ascii="Avenir" w:cs="Avenir" w:eastAsia="Avenir" w:hAnsi="Avenir"/>
          <w:rtl w:val="0"/>
        </w:rPr>
        <w:t xml:space="preserve">Es ist weithin anerkannt, dass allgemeine und berufliche Bildung für die Entwicklung und den Erfolg der heutigen Wissensgesellschaft und Wirtschaft von wesentlicher Bedeutung sind. Die EU-Strategie betont, dass die Länder zusammenarbeiten und voneinander lernen müssen. "Allen Bürgern zu helfen, besser qualifiziert zu sein, ist entscheidend für Wachstum und Beschäftigung in der EU sowie für Gerechtigkeit und soziale Integration". Der Wirtschaftsabschwung rückt diese langfristigen Herausforderungen noch stärker ins Rampenlicht. Die öffentlichen und privaten Haushalte stehen unter starkem Druck, bestehende Arbeitsplätze verschwinden, und neue Arbeitsplätze erfordern oft andere und höhere Qualifikationen. "Die Systeme der allgemeinen und beruflichen Bildung sollten daher viel offener und relevanter für die Bedürfnisse der Bürger, des Arbeitsmarktes und der Gesellschaft insgesamt werden" (ET 2020).</w:t>
      </w:r>
    </w:p>
    <w:p w:rsidR="00000000" w:rsidDel="00000000" w:rsidP="00000000" w:rsidRDefault="00000000" w:rsidRPr="00000000" w14:paraId="00000051">
      <w:pPr>
        <w:jc w:val="both"/>
        <w:rPr>
          <w:rFonts w:ascii="Avenir" w:cs="Avenir" w:eastAsia="Avenir" w:hAnsi="Avenir"/>
        </w:rPr>
      </w:pPr>
      <w:r w:rsidDel="00000000" w:rsidR="00000000" w:rsidRPr="00000000">
        <w:rPr>
          <w:rFonts w:ascii="Avenir" w:cs="Avenir" w:eastAsia="Avenir" w:hAnsi="Avenir"/>
          <w:rtl w:val="0"/>
        </w:rPr>
        <w:t xml:space="preserve">Mehrere europäische Instrumente wie der Europäische Qualifikationsrahmen (EQR), der Europass, das ECVET, die mehrsprachige Klassifizierung der europäischen Fähigkeiten/Kompetenzen, Qualifikationen und Berufe (ESCO) und Qualitätssicherungsrahmen wurden entwickelt und umgesetzt, um die Mobilität von Lernenden und Arbeitnehmern zu unterstützen. Diese Instrumente verbessern die Transparenz, machen Qualifikationen länderübergreifend vergleichbar (EQR) und Lernergebnisse anerkennbar (ECVET) und erleichtern das lebenslange Lernen. Diese Instrumente wurden nicht isoliert voneinander entwickelt, sondern stehen in einem engen Zusammenhang, in dem die verschiedenen Instrumente und Dienstleistungen - einschließlich der Transparenz und Anerkennung von Qualifikationen, der Validierung des nicht formalen und informellen Lernens und der lebenslangen Beratung - auf koordinierte Weise angeboten werden, um zu einer echten europäischen Mobilität beizutragen, bei der die Kenntnisse, Fähigkeiten und Kompetenzen einer Person klar verstanden und schnell anerkannt werden können.</w:t>
      </w:r>
    </w:p>
    <w:p w:rsidR="00000000" w:rsidDel="00000000" w:rsidP="00000000" w:rsidRDefault="00000000" w:rsidRPr="00000000" w14:paraId="00000052">
      <w:pPr>
        <w:jc w:val="both"/>
        <w:rPr>
          <w:rFonts w:ascii="Avenir" w:cs="Avenir" w:eastAsia="Avenir" w:hAnsi="Avenir"/>
        </w:rPr>
      </w:pPr>
      <w:r w:rsidDel="00000000" w:rsidR="00000000" w:rsidRPr="00000000">
        <w:rPr>
          <w:rFonts w:ascii="Avenir" w:cs="Avenir" w:eastAsia="Avenir" w:hAnsi="Avenir"/>
          <w:rtl w:val="0"/>
        </w:rPr>
        <w:t xml:space="preserve">Das Europäische Leistungspunktesystem für die Berufsbildung (ECVET - http://www.ecvet-toolkit.eu) wurde entwickelt, um Menschen die Möglichkeit zu geben, auf dem aufzubauen, was sie in der Vergangenheit gelernt haben, wenn sie eine Qualifikation erwerben möchten. Die zuständigen Behörden können beschließen, ECVET zu nutzen, um den Menschen die Möglichkeit zu geben, die im Ausland erzielten Lernergebnisse anzuerkennen, aber auch die Lernergebnisse, die durch Lernen in einer anderen Einrichtung oder einem anderen System innerhalb desselben Landes erzielt wurden oder die durch Erfahrung erworben wurden. Vor dem Hintergrund der wirtschaftlichen Umstrukturierung, in der bestimmte Sektoren schrumpfen und Personal entlassen, während andere Schwierigkeiten haben, ausreichend qualifiziertes Personal einzustellen, besteht ein Bedarf an flexiblen Arbeitskräften. Von den Menschen wird erwartet, dass sie die Fähigkeit, aber auch die Möglichkeit haben, weiter zu lernen und neue Kenntnisse, Fähigkeiten und Kompetenzen zu entwickeln. Angesichts des demografischen Drucks in Europa ist es dringend erforderlich, die Beschäftigungsquoten zu verbessern und sicherzustellen, dass das Human- und Sozialkapital der Menschen in Europa optimal genutzt wird.</w:t>
      </w:r>
    </w:p>
    <w:p w:rsidR="00000000" w:rsidDel="00000000" w:rsidP="00000000" w:rsidRDefault="00000000" w:rsidRPr="00000000" w14:paraId="00000053">
      <w:pPr>
        <w:jc w:val="both"/>
        <w:rPr>
          <w:rFonts w:ascii="Avenir" w:cs="Avenir" w:eastAsia="Avenir" w:hAnsi="Avenir"/>
        </w:rPr>
      </w:pPr>
      <w:r w:rsidDel="00000000" w:rsidR="00000000" w:rsidRPr="00000000">
        <w:rPr>
          <w:rFonts w:ascii="Avenir" w:cs="Avenir" w:eastAsia="Avenir" w:hAnsi="Avenir"/>
          <w:rtl w:val="0"/>
        </w:rPr>
        <w:t xml:space="preserve">Die Einführung von ECVET in das europäische Qualifizierungssystem zielt darauf ab, die Anerkennung der beruflichen Qualifikationen von Arbeitnehmern in den europäischen Ländern, in denen das System funktioniert, zu ermöglichen. Die Anwendung von ECVET führt zu einer Steigerung der sozialen Motivation, ihre beruflichen Fähigkeiten während ihres gesamten Arbeitslebens zu erhöhen, zu erweitern und zu verbessern, um auf dem europäischen Arbeitsmarkt wettbewerbsfähiger zu werden. Der Arbeitnehmer sollte während seines gesamten Arbeitslebens ECVET-Punkte sammeln, um auf dem Arbeitsmarkt anpassungsfähiger zu werden. Dieser Prozess sollte in jeder Phase der beruflichen Vorbereitung stattfinden: formales, nicht-formales und informelles Lernen. Die sich daraus ergebenden Punkte können ein berufliches Portfolio eines Arbeitnehmers und Angestellten bilden, das die Eignung seiner Qualifikationen für einen bestimmten Berufsbereich charakterisiert.</w:t>
      </w:r>
    </w:p>
    <w:p w:rsidR="00000000" w:rsidDel="00000000" w:rsidP="00000000" w:rsidRDefault="00000000" w:rsidRPr="00000000" w14:paraId="00000054">
      <w:pPr>
        <w:jc w:val="both"/>
        <w:rPr>
          <w:rFonts w:ascii="Avenir" w:cs="Avenir" w:eastAsia="Avenir" w:hAnsi="Avenir"/>
        </w:rPr>
      </w:pPr>
      <w:r w:rsidDel="00000000" w:rsidR="00000000" w:rsidRPr="00000000">
        <w:rPr>
          <w:rFonts w:ascii="Avenir" w:cs="Avenir" w:eastAsia="Avenir" w:hAnsi="Avenir"/>
          <w:rtl w:val="0"/>
        </w:rPr>
        <w:t xml:space="preserve">Das Kernelement der technischen Spezifikationen des ECVET ist die Verwendung von Lerngebnissen. Lernergebnisse beschreiben, was eine Person weiß und in der Lage ist zu tun, und sind daher neutral in Bezug darauf, wie, in welchem Kontext und über welchen Zeitraum der Einzelne seine Kenntnisse, Fähigkeiten und Kompetenzen entwickelt hat. Sie ermöglichen die Anerkennung des Lernens im Hinblick auf das Erreichen einer Qualifikation, unabhängig davon, wo und wie lange das Lernen stattgefunden hat. </w:t>
      </w:r>
    </w:p>
    <w:p w:rsidR="00000000" w:rsidDel="00000000" w:rsidP="00000000" w:rsidRDefault="00000000" w:rsidRPr="00000000" w14:paraId="00000055">
      <w:pPr>
        <w:jc w:val="both"/>
        <w:rPr>
          <w:rFonts w:ascii="Avenir" w:cs="Avenir" w:eastAsia="Avenir" w:hAnsi="Avenir"/>
        </w:rPr>
      </w:pPr>
      <w:r w:rsidDel="00000000" w:rsidR="00000000" w:rsidRPr="00000000">
        <w:rPr>
          <w:rFonts w:ascii="Avenir" w:cs="Avenir" w:eastAsia="Avenir" w:hAnsi="Avenir"/>
          <w:rtl w:val="0"/>
        </w:rPr>
        <w:t xml:space="preserve">Der Europäische Bezugsrahmen für die Qualitätssicherung in der beruflichen Bildung (EQAVET) bietet ein europaweites System, das den Akteuren hilft, die Wirksamkeit ihres Berufsbildungsangebots und ihrer Qualitätsmanagementverfahren zu dokumentieren, zu entwickeln, zu überwachen, zu bewerten und zu verbessern. Er kann sowohl auf der Ebene des Systems als auch auf der Ebene der Berufsbildungsanbieter angewandt werden und kann daher zur Bewertung der Effizienz des Berufsbildungsangebots verwendet werden. Er ist an die verschiedenen nationalen Systeme anpassbar und kann in Übereinstimmung mit der nationalen Gesetzgebung und Praxis verwendet werden. </w:t>
      </w:r>
    </w:p>
    <w:p w:rsidR="00000000" w:rsidDel="00000000" w:rsidP="00000000" w:rsidRDefault="00000000" w:rsidRPr="00000000" w14:paraId="00000056">
      <w:pPr>
        <w:jc w:val="both"/>
        <w:rPr>
          <w:rFonts w:ascii="Avenir" w:cs="Avenir" w:eastAsia="Avenir" w:hAnsi="Avenir"/>
        </w:rPr>
      </w:pPr>
      <w:r w:rsidDel="00000000" w:rsidR="00000000" w:rsidRPr="00000000">
        <w:rPr>
          <w:rFonts w:ascii="Avenir" w:cs="Avenir" w:eastAsia="Avenir" w:hAnsi="Avenir"/>
          <w:rtl w:val="0"/>
        </w:rPr>
        <w:t xml:space="preserve">Der Bezugsrahmen ergänzt die Arbeiten zu den Qualitätssicherungsaspekten des Europäischen Qualifikationsrahmens (EQF) und des Europäischen Leistungspunktesystems für die Berufsbildung (ECVET). Der Rahmen beinhaltet die Notwendigkeit einer regelmäßigen Überwachung (unter Einbeziehung interner und externer Evaluierungsmechanismen) und einer Berichterstattung über die Fortschritte, wobei gemeinsame Qualitätskriterien und indikative Deskriptoren zur Untermauerung der Überwachungs- und Berichterstattungsregelungen verwendet werden, und betont die Bedeutung gemeinsamer Indikatoren zur Unterstützung der Bewertung, Überwachung und Qualitätssicherung von Berufsbildungssystemen und -anbietern. </w:t>
      </w:r>
    </w:p>
    <w:p w:rsidR="00000000" w:rsidDel="00000000" w:rsidP="00000000" w:rsidRDefault="00000000" w:rsidRPr="00000000" w14:paraId="00000057">
      <w:pPr>
        <w:jc w:val="both"/>
        <w:rPr>
          <w:rFonts w:ascii="Avenir" w:cs="Avenir" w:eastAsia="Avenir" w:hAnsi="Avenir"/>
        </w:rPr>
      </w:pPr>
      <w:r w:rsidDel="00000000" w:rsidR="00000000" w:rsidRPr="00000000">
        <w:rPr>
          <w:rFonts w:ascii="Avenir" w:cs="Avenir" w:eastAsia="Avenir" w:hAnsi="Avenir"/>
          <w:rtl w:val="0"/>
        </w:rPr>
        <w:t xml:space="preserve">EQAVET ist eine Praxisgemeinschaft, die Mitgliedstaaten, Sozialpartner und die Europäische Kommission zusammenbringt, um die europäische Zusammenarbeit bei der Entwicklung und Verbesserung der Qualitätssicherung in der Berufsbildung durch die Verwendung des Europäischen Bezugsrahmens für die Qualitätssicherung zu fördern. </w:t>
      </w:r>
    </w:p>
    <w:p w:rsidR="00000000" w:rsidDel="00000000" w:rsidP="00000000" w:rsidRDefault="00000000" w:rsidRPr="00000000" w14:paraId="00000058">
      <w:pPr>
        <w:jc w:val="both"/>
        <w:rPr>
          <w:rFonts w:ascii="Avenir" w:cs="Avenir" w:eastAsia="Avenir" w:hAnsi="Avenir"/>
        </w:rPr>
      </w:pPr>
      <w:r w:rsidDel="00000000" w:rsidR="00000000" w:rsidRPr="00000000">
        <w:rPr>
          <w:rFonts w:ascii="Avenir" w:cs="Avenir" w:eastAsia="Avenir" w:hAnsi="Avenir"/>
          <w:rtl w:val="0"/>
        </w:rPr>
        <w:t xml:space="preserve">Die verschiedenen Instrumente bestätigen die Schlüsselrolle, die die Berufsbildungssysteme bei der Bewältigung des Fachkräftemangels spielen können und müssen, insbesondere in Sektoren mit Wachstum A oder in Sektoren, die sich in einem tiefgreifenden Wandel befinden und besser qualifizierte Arbeitskräfte benötigen. Der Einsatz bestehender europäischer Instrumente für Qualifikationen (EQF), Credits (ECVET) und Qualitätssicherung (EQAVET) unterstützt und erleichtert die Mobilität von qualifizierten Arbeitskräften. </w:t>
      </w:r>
    </w:p>
    <w:p w:rsidR="00000000" w:rsidDel="00000000" w:rsidP="00000000" w:rsidRDefault="00000000" w:rsidRPr="00000000" w14:paraId="00000059">
      <w:pPr>
        <w:jc w:val="both"/>
        <w:rPr>
          <w:rFonts w:ascii="Avenir" w:cs="Avenir" w:eastAsia="Avenir" w:hAnsi="Avenir"/>
        </w:rPr>
      </w:pPr>
      <w:r w:rsidDel="00000000" w:rsidR="00000000" w:rsidRPr="00000000">
        <w:rPr>
          <w:rFonts w:ascii="Avenir" w:cs="Avenir" w:eastAsia="Avenir" w:hAnsi="Avenir"/>
          <w:rtl w:val="0"/>
        </w:rPr>
        <w:t xml:space="preserve">Europa wird nur durch eine höhere Produktivität und das Angebot an hochqualifizierten Arbeitskräften wieder wachsen, und die Reform der Systeme der allgemeinen und beruflichen Bildung ist eine wesentliche Voraussetzung, um dies zu erreichen.</w:t>
      </w:r>
    </w:p>
    <w:p w:rsidR="00000000" w:rsidDel="00000000" w:rsidP="00000000" w:rsidRDefault="00000000" w:rsidRPr="00000000" w14:paraId="0000005A">
      <w:pPr>
        <w:spacing w:line="360" w:lineRule="auto"/>
        <w:jc w:val="both"/>
        <w:rPr/>
      </w:pPr>
      <w:r w:rsidDel="00000000" w:rsidR="00000000" w:rsidRPr="00000000">
        <w:rPr>
          <w:rtl w:val="0"/>
        </w:rPr>
      </w:r>
    </w:p>
    <w:p w:rsidR="00000000" w:rsidDel="00000000" w:rsidP="00000000" w:rsidRDefault="00000000" w:rsidRPr="00000000" w14:paraId="0000005B">
      <w:pPr>
        <w:pStyle w:val="Heading1"/>
        <w:rPr/>
      </w:pPr>
      <w:bookmarkStart w:colFirst="0" w:colLast="0" w:name="_heading=h.1fob9te" w:id="2"/>
      <w:bookmarkEnd w:id="2"/>
      <w:r w:rsidDel="00000000" w:rsidR="00000000" w:rsidRPr="00000000">
        <w:rPr>
          <w:rtl w:val="0"/>
        </w:rPr>
        <w:t xml:space="preserve">3. EUROPÄISCHER QUALIFIKATIONSRAHMEN (EQR)</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jc w:val="both"/>
        <w:rPr>
          <w:rFonts w:ascii="Avenir" w:cs="Avenir" w:eastAsia="Avenir" w:hAnsi="Avenir"/>
        </w:rPr>
      </w:pPr>
      <w:r w:rsidDel="00000000" w:rsidR="00000000" w:rsidRPr="00000000">
        <w:rPr>
          <w:rFonts w:ascii="Avenir" w:cs="Avenir" w:eastAsia="Avenir" w:hAnsi="Avenir"/>
          <w:rtl w:val="0"/>
        </w:rPr>
        <w:t xml:space="preserve">Der Europäische Qualifikationsrahmen (EQR) ist ein gemeinsamer Referenzrahmen, der von der Europäischen Union (EU) und ihren Mitgliedstaaten entwickelt wurde, um Transparenz, Vergleichbarkeit und Übertragbarkeit von Qualifikationen in Europa zu fördern. Er bietet eine gemeinsame Sprache zur Beschreibung und zum Vergleich von Qualifikationen aus verschiedenen Ländern und Bildungssystemen.</w:t>
      </w:r>
    </w:p>
    <w:p w:rsidR="00000000" w:rsidDel="00000000" w:rsidP="00000000" w:rsidRDefault="00000000" w:rsidRPr="00000000" w14:paraId="0000005E">
      <w:pPr>
        <w:jc w:val="both"/>
        <w:rPr>
          <w:rFonts w:ascii="Avenir" w:cs="Avenir" w:eastAsia="Avenir" w:hAnsi="Avenir"/>
        </w:rPr>
      </w:pPr>
      <w:r w:rsidDel="00000000" w:rsidR="00000000" w:rsidRPr="00000000">
        <w:rPr>
          <w:rFonts w:ascii="Avenir" w:cs="Avenir" w:eastAsia="Avenir" w:hAnsi="Avenir"/>
          <w:rtl w:val="0"/>
        </w:rPr>
        <w:t xml:space="preserve">Der EQR besteht aus acht Niveaustufen, die einen zunehmenden Grad an Wissen, Fertigkeiten und Kompetenzen darstellen. Jedes Niveau beschreibt, was eine Person weiß, versteht und in der Lage ist zu tun, unabhängig von der Art des Bildungs- oder Ausbildungssystems, in dem die Qualifikation erworben wurde. Die Niveaus reichen von Niveau 1, das grundlegende Kenntnisse und Fertigkeiten darstellt, bis zu Niveau 8, das die höchste Stufe fortgeschrittener Kenntnisse und Fertigkeiten darstellt.</w:t>
      </w:r>
    </w:p>
    <w:p w:rsidR="00000000" w:rsidDel="00000000" w:rsidP="00000000" w:rsidRDefault="00000000" w:rsidRPr="00000000" w14:paraId="0000005F">
      <w:pPr>
        <w:jc w:val="both"/>
        <w:rPr>
          <w:rFonts w:ascii="Avenir" w:cs="Avenir" w:eastAsia="Avenir" w:hAnsi="Avenir"/>
        </w:rPr>
      </w:pPr>
      <w:r w:rsidDel="00000000" w:rsidR="00000000" w:rsidRPr="00000000">
        <w:rPr>
          <w:rFonts w:ascii="Avenir" w:cs="Avenir" w:eastAsia="Avenir" w:hAnsi="Avenir"/>
          <w:rtl w:val="0"/>
        </w:rPr>
        <w:t xml:space="preserve">Der EQR basiert auf einer Reihe gemeinsamer Deskriptoren, den sogenannten Lernergebnissen, die beschreiben, was ein Lernender nach Abschluss einer Qualifikation wissen, verstehen und können soll. Diese Lernergebnisse konzentrieren sich auf Kenntnisse, Fertigkeiten und Kompetenzen, die für den Arbeitsmarkt und weitere Lernmöglichkeiten relevant sind.</w:t>
      </w:r>
    </w:p>
    <w:p w:rsidR="00000000" w:rsidDel="00000000" w:rsidP="00000000" w:rsidRDefault="00000000" w:rsidRPr="00000000" w14:paraId="00000060">
      <w:pPr>
        <w:jc w:val="both"/>
        <w:rPr>
          <w:rFonts w:ascii="Avenir" w:cs="Avenir" w:eastAsia="Avenir" w:hAnsi="Avenir"/>
        </w:rPr>
      </w:pPr>
      <w:r w:rsidDel="00000000" w:rsidR="00000000" w:rsidRPr="00000000">
        <w:rPr>
          <w:rFonts w:ascii="Avenir" w:cs="Avenir" w:eastAsia="Avenir" w:hAnsi="Avenir"/>
          <w:rtl w:val="0"/>
        </w:rPr>
        <w:t xml:space="preserve">Der EQR zielt darauf ab, lebenslanges Lernen zu erleichtern, die Mobilität von Lernenden und Arbeitnehmern zu fördern und die Anerkennung und Validierung von Qualifikationen in ganz Europa zu unterstützen. Er hilft Einzelpersonen, Arbeitgebern, Anbietern von allgemeiner und beruflicher Bildung und Behörden, Qualifikationen in verschiedenen Ländern und Systemen zu verstehen und zu vergleichen, wodurch es einfacher wird, die Qualifikationen und Fähigkeiten von Einzelpersonen auf transparente und einheitliche Weise zu bewerten.</w:t>
      </w:r>
    </w:p>
    <w:p w:rsidR="00000000" w:rsidDel="00000000" w:rsidP="00000000" w:rsidRDefault="00000000" w:rsidRPr="00000000" w14:paraId="00000061">
      <w:pPr>
        <w:jc w:val="both"/>
        <w:rPr>
          <w:rFonts w:ascii="Avenir" w:cs="Avenir" w:eastAsia="Avenir" w:hAnsi="Avenir"/>
        </w:rPr>
      </w:pPr>
      <w:r w:rsidDel="00000000" w:rsidR="00000000" w:rsidRPr="00000000">
        <w:rPr>
          <w:rFonts w:ascii="Avenir" w:cs="Avenir" w:eastAsia="Avenir" w:hAnsi="Avenir"/>
          <w:rtl w:val="0"/>
        </w:rPr>
        <w:t xml:space="preserve">Vorteile der Umsetzung der EQRs:</w:t>
      </w:r>
    </w:p>
    <w:p w:rsidR="00000000" w:rsidDel="00000000" w:rsidP="00000000" w:rsidRDefault="00000000" w:rsidRPr="00000000" w14:paraId="0000006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Die Qualifikationen sind in den verschiedenen Ländern und Systemen in Europa besser lesbar und leichter zu verstehen</w:t>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Die Mobilität der Bürger zwischen den Ländern wird gefördert.</w:t>
      </w:r>
    </w:p>
    <w:p w:rsidR="00000000" w:rsidDel="00000000" w:rsidP="00000000" w:rsidRDefault="00000000" w:rsidRPr="00000000" w14:paraId="0000006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Lebenslanges Lernen wird erleichtert</w:t>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Ein Vergleich von Lernergebnissen in verschiedenen europäischen Ländern kann die Zusammenarbeit zwischen Ländern und Institutionen erleichtern.</w:t>
      </w:r>
    </w:p>
    <w:p w:rsidR="00000000" w:rsidDel="00000000" w:rsidP="00000000" w:rsidRDefault="00000000" w:rsidRPr="00000000" w14:paraId="000000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Der gemeinsame europäische Referenzpunkt verbindet die verschiedenen nationalen Qualifikationssysteme und erleichtert so die Kommunikation zwischen ihnen.</w:t>
      </w:r>
    </w:p>
    <w:p w:rsidR="00000000" w:rsidDel="00000000" w:rsidP="00000000" w:rsidRDefault="00000000" w:rsidRPr="00000000" w14:paraId="000000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Ein Netzwerk unabhängiger, aber miteinander verbundener und gegenseitig verständlicher Qualifikationen wird geschaffen.</w:t>
      </w:r>
    </w:p>
    <w:p w:rsidR="00000000" w:rsidDel="00000000" w:rsidP="00000000" w:rsidRDefault="00000000" w:rsidRPr="00000000" w14:paraId="0000006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Der Transfer von Qualifikationen zwischen Ländern, Systemen und Einrichtungen wird vergleichbar gemacht.</w:t>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Der Zugang zum lebenslangen Lernen und die Möglichkeiten der Teilnahme an diesem Prozess werden verbessert.</w:t>
      </w:r>
    </w:p>
    <w:p w:rsidR="00000000" w:rsidDel="00000000" w:rsidP="00000000" w:rsidRDefault="00000000" w:rsidRPr="00000000" w14:paraId="0000006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Die Validierung von nicht-formalem und informellem Lernen wird erleichtert.</w:t>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Avenir" w:cs="Avenir" w:eastAsia="Avenir" w:hAnsi="Avenir"/>
          <w:b w:val="0"/>
          <w:i w:val="0"/>
          <w:smallCaps w:val="0"/>
          <w:strike w:val="0"/>
          <w:color w:val="000000"/>
          <w:sz w:val="22"/>
          <w:szCs w:val="22"/>
          <w:u w:val="none"/>
          <w:shd w:fill="auto" w:val="clear"/>
          <w:vertAlign w:val="baseline"/>
        </w:rPr>
      </w:pPr>
      <w:r w:rsidDel="00000000" w:rsidR="00000000" w:rsidRPr="00000000">
        <w:rPr>
          <w:rFonts w:ascii="Avenir" w:cs="Avenir" w:eastAsia="Avenir" w:hAnsi="Avenir"/>
          <w:b w:val="0"/>
          <w:i w:val="0"/>
          <w:smallCaps w:val="0"/>
          <w:strike w:val="0"/>
          <w:color w:val="000000"/>
          <w:sz w:val="22"/>
          <w:szCs w:val="22"/>
          <w:u w:val="none"/>
          <w:shd w:fill="auto" w:val="clear"/>
          <w:vertAlign w:val="baseline"/>
          <w:rtl w:val="0"/>
        </w:rPr>
        <w:t xml:space="preserve">Die Transparenz der außerhalb der nationalen Systeme verliehenen Qualifikationen wird gefördert. </w:t>
      </w:r>
    </w:p>
    <w:p w:rsidR="00000000" w:rsidDel="00000000" w:rsidP="00000000" w:rsidRDefault="00000000" w:rsidRPr="00000000" w14:paraId="0000006C">
      <w:pPr>
        <w:jc w:val="both"/>
        <w:rPr>
          <w:rFonts w:ascii="Avenir" w:cs="Avenir" w:eastAsia="Avenir" w:hAnsi="Avenir"/>
        </w:rPr>
      </w:pPr>
      <w:r w:rsidDel="00000000" w:rsidR="00000000" w:rsidRPr="00000000">
        <w:rPr>
          <w:rFonts w:ascii="Avenir" w:cs="Avenir" w:eastAsia="Avenir" w:hAnsi="Avenir"/>
          <w:rtl w:val="0"/>
        </w:rPr>
        <w:t xml:space="preserve">Mehr Informationen unter folgendem Link: </w:t>
      </w:r>
      <w:hyperlink r:id="rId17">
        <w:r w:rsidDel="00000000" w:rsidR="00000000" w:rsidRPr="00000000">
          <w:rPr>
            <w:rFonts w:ascii="Avenir" w:cs="Avenir" w:eastAsia="Avenir" w:hAnsi="Avenir"/>
            <w:color w:val="0000ff"/>
            <w:u w:val="single"/>
            <w:rtl w:val="0"/>
          </w:rPr>
          <w:t xml:space="preserve">https://ec.europa.eu/ploteus/en/content/how-does-eqf-work</w:t>
        </w:r>
      </w:hyperlink>
      <w:r w:rsidDel="00000000" w:rsidR="00000000" w:rsidRPr="00000000">
        <w:rPr>
          <w:rFonts w:ascii="Avenir" w:cs="Avenir" w:eastAsia="Avenir" w:hAnsi="Avenir"/>
          <w:rtl w:val="0"/>
        </w:rPr>
        <w:t xml:space="preserve">. </w:t>
      </w:r>
    </w:p>
    <w:p w:rsidR="00000000" w:rsidDel="00000000" w:rsidP="00000000" w:rsidRDefault="00000000" w:rsidRPr="00000000" w14:paraId="0000006D">
      <w:pPr>
        <w:rPr>
          <w:rFonts w:ascii="Avenir" w:cs="Avenir" w:eastAsia="Avenir" w:hAnsi="Avenir"/>
        </w:rPr>
      </w:pPr>
      <w:r w:rsidDel="00000000" w:rsidR="00000000" w:rsidRPr="00000000">
        <w:br w:type="page"/>
      </w:r>
      <w:r w:rsidDel="00000000" w:rsidR="00000000" w:rsidRPr="00000000">
        <w:rPr>
          <w:rtl w:val="0"/>
        </w:rPr>
      </w:r>
    </w:p>
    <w:p w:rsidR="00000000" w:rsidDel="00000000" w:rsidP="00000000" w:rsidRDefault="00000000" w:rsidRPr="00000000" w14:paraId="0000006E">
      <w:pPr>
        <w:pStyle w:val="Heading1"/>
        <w:rPr/>
      </w:pPr>
      <w:bookmarkStart w:colFirst="0" w:colLast="0" w:name="_heading=h.3znysh7" w:id="3"/>
      <w:bookmarkEnd w:id="3"/>
      <w:r w:rsidDel="00000000" w:rsidR="00000000" w:rsidRPr="00000000">
        <w:rPr>
          <w:rtl w:val="0"/>
        </w:rPr>
        <w:t xml:space="preserve">4. SCHULUNGSCURRICULUM ZUR FÖRDERUNG DES UMWELTBEWUSSTSEINS UND -ENGAGEMENTS VON JUNGEN MIGRANTINNEN DURCH TRANSFORMATIVES LERNEN</w:t>
      </w:r>
    </w:p>
    <w:p w:rsidR="00000000" w:rsidDel="00000000" w:rsidP="00000000" w:rsidRDefault="00000000" w:rsidRPr="00000000" w14:paraId="0000006F">
      <w:pPr>
        <w:rPr/>
      </w:pPr>
      <w:r w:rsidDel="00000000" w:rsidR="00000000" w:rsidRPr="00000000">
        <w:rPr>
          <w:rtl w:val="0"/>
        </w:rPr>
      </w:r>
    </w:p>
    <w:tbl>
      <w:tblPr>
        <w:tblStyle w:val="Table2"/>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70">
            <w:pPr>
              <w:pStyle w:val="Heading2"/>
              <w:spacing w:after="60" w:before="60" w:lineRule="auto"/>
              <w:rPr>
                <w:rFonts w:ascii="Verdana" w:cs="Verdana" w:eastAsia="Verdana" w:hAnsi="Verdana"/>
                <w:b w:val="1"/>
                <w:color w:val="ffffff"/>
                <w:sz w:val="40"/>
                <w:szCs w:val="40"/>
              </w:rPr>
            </w:pPr>
            <w:bookmarkStart w:colFirst="0" w:colLast="0" w:name="_heading=h.2et92p0" w:id="4"/>
            <w:bookmarkEnd w:id="4"/>
            <w:r w:rsidDel="00000000" w:rsidR="00000000" w:rsidRPr="00000000">
              <w:rPr>
                <w:rFonts w:ascii="Verdana" w:cs="Verdana" w:eastAsia="Verdana" w:hAnsi="Verdana"/>
                <w:b w:val="1"/>
                <w:color w:val="ffffff"/>
                <w:sz w:val="40"/>
                <w:szCs w:val="40"/>
                <w:rtl w:val="0"/>
              </w:rPr>
              <w:t xml:space="preserve">Einheit 1: Einführung in die wichtigsten Konzepte</w:t>
            </w:r>
          </w:p>
        </w:tc>
      </w:tr>
    </w:tbl>
    <w:p w:rsidR="00000000" w:rsidDel="00000000" w:rsidP="00000000" w:rsidRDefault="00000000" w:rsidRPr="00000000" w14:paraId="00000071">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72">
      <w:pPr>
        <w:spacing w:after="0" w:line="240" w:lineRule="auto"/>
        <w:jc w:val="both"/>
        <w:rPr>
          <w:rFonts w:ascii="Avenir" w:cs="Avenir" w:eastAsia="Avenir" w:hAnsi="Avenir"/>
          <w:sz w:val="24"/>
          <w:szCs w:val="24"/>
        </w:rPr>
      </w:pPr>
      <w:r w:rsidDel="00000000" w:rsidR="00000000" w:rsidRPr="00000000">
        <w:rPr>
          <w:rtl w:val="0"/>
        </w:rPr>
      </w:r>
    </w:p>
    <w:tbl>
      <w:tblPr>
        <w:tblStyle w:val="Table3"/>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73">
            <w:pPr>
              <w:jc w:val="center"/>
              <w:rPr>
                <w:rFonts w:ascii="Avenir" w:cs="Avenir" w:eastAsia="Avenir" w:hAnsi="Avenir"/>
                <w:b w:val="1"/>
                <w:color w:val="ffffff"/>
                <w:sz w:val="24"/>
                <w:szCs w:val="24"/>
              </w:rPr>
            </w:pPr>
            <w:r w:rsidDel="00000000" w:rsidR="00000000" w:rsidRPr="00000000">
              <w:rPr>
                <w:rFonts w:ascii="Avenir" w:cs="Avenir" w:eastAsia="Avenir" w:hAnsi="Avenir"/>
                <w:b w:val="1"/>
                <w:color w:val="ffffff"/>
                <w:sz w:val="24"/>
                <w:szCs w:val="24"/>
                <w:rtl w:val="0"/>
              </w:rPr>
              <w:t xml:space="preserve">LERNERGEBNISSE</w:t>
            </w:r>
          </w:p>
        </w:tc>
      </w:tr>
    </w:tbl>
    <w:p w:rsidR="00000000" w:rsidDel="00000000" w:rsidP="00000000" w:rsidRDefault="00000000" w:rsidRPr="00000000" w14:paraId="00000074">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75">
      <w:pPr>
        <w:spacing w:after="0" w:line="240" w:lineRule="auto"/>
        <w:rPr>
          <w:rFonts w:ascii="Avenir" w:cs="Avenir" w:eastAsia="Avenir" w:hAnsi="Avenir"/>
          <w:color w:val="000000"/>
        </w:rPr>
      </w:pPr>
      <w:r w:rsidDel="00000000" w:rsidR="00000000" w:rsidRPr="00000000">
        <w:rPr>
          <w:rFonts w:ascii="Avenir" w:cs="Avenir" w:eastAsia="Avenir" w:hAnsi="Avenir"/>
          <w:color w:val="000000"/>
        </w:rPr>
        <mc:AlternateContent>
          <mc:Choice Requires="wpg">
            <w:drawing>
              <wp:inline distB="0" distT="0" distL="0" distR="0">
                <wp:extent cx="5400030" cy="3642334"/>
                <wp:effectExtent b="0" l="0" r="0" t="0"/>
                <wp:docPr id="21" name=""/>
                <a:graphic>
                  <a:graphicData uri="http://schemas.microsoft.com/office/word/2010/wordprocessingGroup">
                    <wpg:wgp>
                      <wpg:cNvGrpSpPr/>
                      <wpg:grpSpPr>
                        <a:xfrm>
                          <a:off x="2645975" y="1958825"/>
                          <a:ext cx="5400030" cy="3642334"/>
                          <a:chOff x="2645975" y="1958825"/>
                          <a:chExt cx="5400050" cy="3642350"/>
                        </a:xfrm>
                      </wpg:grpSpPr>
                      <wpg:grpSp>
                        <wpg:cNvGrpSpPr/>
                        <wpg:grpSpPr>
                          <a:xfrm>
                            <a:off x="2645985" y="1958833"/>
                            <a:ext cx="5400030" cy="3642334"/>
                            <a:chOff x="2645980" y="2140023"/>
                            <a:chExt cx="5400040" cy="3333925"/>
                          </a:xfrm>
                        </wpg:grpSpPr>
                        <wps:wsp>
                          <wps:cNvSpPr/>
                          <wps:cNvPr id="3" name="Shape 3"/>
                          <wps:spPr>
                            <a:xfrm>
                              <a:off x="2645980" y="2140023"/>
                              <a:ext cx="5400025" cy="33339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333925"/>
                              <a:chOff x="2642925" y="2140000"/>
                              <a:chExt cx="5403100" cy="3333972"/>
                            </a:xfrm>
                          </wpg:grpSpPr>
                          <wps:wsp>
                            <wps:cNvSpPr/>
                            <wps:cNvPr id="87" name="Shape 87"/>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333949"/>
                                <a:chOff x="0" y="0"/>
                                <a:chExt cx="5400025" cy="3325864"/>
                              </a:xfrm>
                            </wpg:grpSpPr>
                            <wps:wsp>
                              <wps:cNvSpPr/>
                              <wps:cNvPr id="89" name="Shape 89"/>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0" name="Shape 90"/>
                              <wps:spPr>
                                <a:xfrm>
                                  <a:off x="0" y="0"/>
                                  <a:ext cx="5400025" cy="3325864"/>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1" name="Shape 91"/>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2" name="Shape 92"/>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Kenntnisse</w:t>
                                    </w:r>
                                  </w:p>
                                </w:txbxContent>
                              </wps:txbx>
                              <wps:bodyPr anchorCtr="0" anchor="t" bIns="0" lIns="0" spcFirstLastPara="1" rIns="62225" wrap="square" tIns="48000">
                                <a:noAutofit/>
                              </wps:bodyPr>
                            </wps:wsp>
                            <wps:wsp>
                              <wps:cNvSpPr/>
                              <wps:cNvPr id="93" name="Shape 93"/>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4" name="Shape 94"/>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5" name="Shape 95"/>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Fähigkeiten</w:t>
                                    </w:r>
                                  </w:p>
                                </w:txbxContent>
                              </wps:txbx>
                              <wps:bodyPr anchorCtr="0" anchor="t" bIns="0" lIns="0" spcFirstLastPara="1" rIns="62225" wrap="square" tIns="48000">
                                <a:noAutofit/>
                              </wps:bodyPr>
                            </wps:wsp>
                            <wps:wsp>
                              <wps:cNvSpPr/>
                              <wps:cNvPr id="96" name="Shape 96"/>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7" name="Shape 97"/>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8" name="Shape 98"/>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Verantwortung und Autonomie</w:t>
                                    </w:r>
                                  </w:p>
                                </w:txbxContent>
                              </wps:txbx>
                              <wps:bodyPr anchorCtr="0" anchor="t" bIns="0" lIns="0" spcFirstLastPara="1" rIns="62225" wrap="square" tIns="48000">
                                <a:noAutofit/>
                              </wps:bodyPr>
                            </wps:wsp>
                            <wps:wsp>
                              <wps:cNvSpPr/>
                              <wps:cNvPr id="99" name="Shape 99"/>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5400030" cy="3642334"/>
                <wp:effectExtent b="0" l="0" r="0" t="0"/>
                <wp:docPr id="21" name="image28.png"/>
                <a:graphic>
                  <a:graphicData uri="http://schemas.openxmlformats.org/drawingml/2006/picture">
                    <pic:pic>
                      <pic:nvPicPr>
                        <pic:cNvPr id="0" name="image28.png"/>
                        <pic:cNvPicPr preferRelativeResize="0"/>
                      </pic:nvPicPr>
                      <pic:blipFill>
                        <a:blip r:embed="rId18"/>
                        <a:srcRect/>
                        <a:stretch>
                          <a:fillRect/>
                        </a:stretch>
                      </pic:blipFill>
                      <pic:spPr>
                        <a:xfrm>
                          <a:off x="0" y="0"/>
                          <a:ext cx="5400030" cy="3642334"/>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304800</wp:posOffset>
                </wp:positionH>
                <wp:positionV relativeFrom="paragraph">
                  <wp:posOffset>381000</wp:posOffset>
                </wp:positionV>
                <wp:extent cx="1276350" cy="2539365"/>
                <wp:effectExtent b="0" l="0" r="0" t="0"/>
                <wp:wrapNone/>
                <wp:docPr id="25" name=""/>
                <a:graphic>
                  <a:graphicData uri="http://schemas.microsoft.com/office/word/2010/wordprocessingShape">
                    <wps:wsp>
                      <wps:cNvSpPr/>
                      <wps:cNvPr id="117" name="Shape 117"/>
                      <wps:spPr>
                        <a:xfrm>
                          <a:off x="4712588" y="2515080"/>
                          <a:ext cx="1266825" cy="2529840"/>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K1. Das Konzept des Green Deal einschließlich der Kohlenstoffneutralität zu verstehen</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K2. Vertrautheit mit transformativem Lernen für den Klimaschutz</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K3: Bewusstsein für nachhaltige Entscheidungen zum Schutz der Umwelt</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304800</wp:posOffset>
                </wp:positionH>
                <wp:positionV relativeFrom="paragraph">
                  <wp:posOffset>381000</wp:posOffset>
                </wp:positionV>
                <wp:extent cx="1276350" cy="2539365"/>
                <wp:effectExtent b="0" l="0" r="0" t="0"/>
                <wp:wrapNone/>
                <wp:docPr id="25" name="image33.png"/>
                <a:graphic>
                  <a:graphicData uri="http://schemas.openxmlformats.org/drawingml/2006/picture">
                    <pic:pic>
                      <pic:nvPicPr>
                        <pic:cNvPr id="0" name="image33.png"/>
                        <pic:cNvPicPr preferRelativeResize="0"/>
                      </pic:nvPicPr>
                      <pic:blipFill>
                        <a:blip r:embed="rId19"/>
                        <a:srcRect/>
                        <a:stretch>
                          <a:fillRect/>
                        </a:stretch>
                      </pic:blipFill>
                      <pic:spPr>
                        <a:xfrm>
                          <a:off x="0" y="0"/>
                          <a:ext cx="1276350" cy="25393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279400</wp:posOffset>
                </wp:positionV>
                <wp:extent cx="1231900" cy="2950845"/>
                <wp:effectExtent b="0" l="0" r="0" t="0"/>
                <wp:wrapNone/>
                <wp:docPr id="23" name=""/>
                <a:graphic>
                  <a:graphicData uri="http://schemas.microsoft.com/office/word/2010/wordprocessingShape">
                    <wps:wsp>
                      <wps:cNvSpPr/>
                      <wps:cNvPr id="115" name="Shape 115"/>
                      <wps:spPr>
                        <a:xfrm>
                          <a:off x="4734813" y="2309340"/>
                          <a:ext cx="1222375" cy="2941320"/>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F1. Kann Probleme und Maßnahmen zur Verringerung des CO2-Fußabdrucks beurteilen </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F2. Ist in der Lage, über eigene Überzeugungen nachzudenken und transformative Maßnahmen zu ergreifen</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F3. Recycling und Abfallvermeidung im Alltag umsetzen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279400</wp:posOffset>
                </wp:positionV>
                <wp:extent cx="1231900" cy="2950845"/>
                <wp:effectExtent b="0" l="0" r="0" t="0"/>
                <wp:wrapNone/>
                <wp:docPr id="23" name="image30.png"/>
                <a:graphic>
                  <a:graphicData uri="http://schemas.openxmlformats.org/drawingml/2006/picture">
                    <pic:pic>
                      <pic:nvPicPr>
                        <pic:cNvPr id="0" name="image30.png"/>
                        <pic:cNvPicPr preferRelativeResize="0"/>
                      </pic:nvPicPr>
                      <pic:blipFill>
                        <a:blip r:embed="rId20"/>
                        <a:srcRect/>
                        <a:stretch>
                          <a:fillRect/>
                        </a:stretch>
                      </pic:blipFill>
                      <pic:spPr>
                        <a:xfrm>
                          <a:off x="0" y="0"/>
                          <a:ext cx="1231900" cy="2950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3860800</wp:posOffset>
                </wp:positionH>
                <wp:positionV relativeFrom="paragraph">
                  <wp:posOffset>342900</wp:posOffset>
                </wp:positionV>
                <wp:extent cx="1370330" cy="2935605"/>
                <wp:effectExtent b="0" l="0" r="0" t="0"/>
                <wp:wrapNone/>
                <wp:docPr id="11" name=""/>
                <a:graphic>
                  <a:graphicData uri="http://schemas.microsoft.com/office/word/2010/wordprocessingShape">
                    <wps:wsp>
                      <wps:cNvSpPr/>
                      <wps:cNvPr id="27" name="Shape 27"/>
                      <wps:spPr>
                        <a:xfrm>
                          <a:off x="4665598" y="2316960"/>
                          <a:ext cx="1360805" cy="2926080"/>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V/A1. Einführung eines Lebensstils für die Kreislaufwirtschaft und den Übergang zu sauberer Energie .</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V/A2. Ist aufgeschlossen gegenüber anderen Weltanschauungen zum Klimaschutz und zum Klimawandel</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V/A3. Passt den nachhaltigen Konsum an, um die Abfallvermeidung zu gewährleisten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3860800</wp:posOffset>
                </wp:positionH>
                <wp:positionV relativeFrom="paragraph">
                  <wp:posOffset>342900</wp:posOffset>
                </wp:positionV>
                <wp:extent cx="1370330" cy="2935605"/>
                <wp:effectExtent b="0" l="0" r="0" t="0"/>
                <wp:wrapNone/>
                <wp:docPr id="11" name="image13.png"/>
                <a:graphic>
                  <a:graphicData uri="http://schemas.openxmlformats.org/drawingml/2006/picture">
                    <pic:pic>
                      <pic:nvPicPr>
                        <pic:cNvPr id="0" name="image13.png"/>
                        <pic:cNvPicPr preferRelativeResize="0"/>
                      </pic:nvPicPr>
                      <pic:blipFill>
                        <a:blip r:embed="rId21"/>
                        <a:srcRect/>
                        <a:stretch>
                          <a:fillRect/>
                        </a:stretch>
                      </pic:blipFill>
                      <pic:spPr>
                        <a:xfrm>
                          <a:off x="0" y="0"/>
                          <a:ext cx="1370330" cy="2935605"/>
                        </a:xfrm>
                        <a:prstGeom prst="rect"/>
                        <a:ln/>
                      </pic:spPr>
                    </pic:pic>
                  </a:graphicData>
                </a:graphic>
              </wp:anchor>
            </w:drawing>
          </mc:Fallback>
        </mc:AlternateContent>
      </w:r>
    </w:p>
    <w:p w:rsidR="00000000" w:rsidDel="00000000" w:rsidP="00000000" w:rsidRDefault="00000000" w:rsidRPr="00000000" w14:paraId="00000076">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Ziel der Lerneinheit</w:t>
      </w:r>
    </w:p>
    <w:p w:rsidR="00000000" w:rsidDel="00000000" w:rsidP="00000000" w:rsidRDefault="00000000" w:rsidRPr="00000000" w14:paraId="00000077">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Förderung eines grundlegenden Bewusstseins über den Europäischen Green Deal und die Relevanz des Transformationslernens, um die Senkung des individuellen CO2-Fußabdrucks durch eine Änderung des Lebensstils unter jungen MigrantInnen sicherzustellen.</w:t>
      </w:r>
    </w:p>
    <w:p w:rsidR="00000000" w:rsidDel="00000000" w:rsidP="00000000" w:rsidRDefault="00000000" w:rsidRPr="00000000" w14:paraId="00000078">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Beschreibung der Lerneinheit</w:t>
      </w:r>
    </w:p>
    <w:p w:rsidR="00000000" w:rsidDel="00000000" w:rsidP="00000000" w:rsidRDefault="00000000" w:rsidRPr="00000000" w14:paraId="00000079">
      <w:pPr>
        <w:spacing w:after="240" w:before="240" w:line="240" w:lineRule="auto"/>
        <w:jc w:val="both"/>
        <w:rPr>
          <w:rFonts w:ascii="Avenir" w:cs="Avenir" w:eastAsia="Avenir" w:hAnsi="Avenir"/>
        </w:rPr>
      </w:pPr>
      <w:r w:rsidDel="00000000" w:rsidR="00000000" w:rsidRPr="00000000">
        <w:rPr>
          <w:rFonts w:ascii="Avenir" w:cs="Avenir" w:eastAsia="Avenir" w:hAnsi="Avenir"/>
          <w:rtl w:val="0"/>
        </w:rPr>
        <w:t xml:space="preserve">Diese Lerneinheit konzentriert sich speziell darauf, jungen MigrantInnen die grundlegenden Konzepte im Zusammenhang mit dem Green Deal und dem transformativen Lernen näher zu bringen und trägt dazu bei, sie auf einen effektiven Umgang mit Klimawandel und Umweltschutz vorzubereiten. Angesichts der unterschiedlichen kulturellen Hintergründe und des unterschiedlichen Bewusstseins der jungen MigrantInnen über die Bedeutung des Green Deals und der ökologischen Nachhaltigkeit in Europa, deckt diese Lerneinheit Schlüsselkonzepte wie ein grundlegendes Verständnis des Europäischen Green Deals ab und behandelt die Themen Klimawandel, CO2-Fußabdruck, Kreislaufwirtschaft und saubere Energiewende. Sie fördert das Bewusstsein für den Ansatz des Transformativen Lernens und wie dieser auf das Umweltbewusstsein und -engagement angewendet werden kann.</w:t>
      </w:r>
    </w:p>
    <w:p w:rsidR="00000000" w:rsidDel="00000000" w:rsidP="00000000" w:rsidRDefault="00000000" w:rsidRPr="00000000" w14:paraId="0000007A">
      <w:pPr>
        <w:spacing w:after="240" w:before="240" w:line="240" w:lineRule="auto"/>
        <w:jc w:val="both"/>
        <w:rPr>
          <w:rFonts w:ascii="Avenir" w:cs="Avenir" w:eastAsia="Avenir" w:hAnsi="Avenir"/>
        </w:rPr>
      </w:pPr>
      <w:r w:rsidDel="00000000" w:rsidR="00000000" w:rsidRPr="00000000">
        <w:rPr>
          <w:rFonts w:ascii="Avenir" w:cs="Avenir" w:eastAsia="Avenir" w:hAnsi="Avenir"/>
          <w:rtl w:val="0"/>
        </w:rPr>
        <w:t xml:space="preserve">Am Ende der Lerneinheit werden die TeilnehmerInnen ein Verständnis für die Zusammenhänge zwischen menschlichen Aktivitäten und der Umwelt im Kontext des Green Deal entwickelt haben, das sie in die Lage versetzt, fundierte Entscheidungen zu treffen und einen nachhaltigen Lebensstil zu führen. Sie werden ein kritisches Bewusstsein entwickeln, um die wirtschaftlichen und ökologischen Dimensionen von Green Deal zu analysieren und seine Auswirkungen auf die Kohlenstoffneutralität zu bewerten. Darüber hinaus werden junge Migranten lernen, Umweltgerechtigkeit und Fairness im Rahmen von Green Deal zu schätzen und erkennen, wie wichtig integrative und vielfältige Perspektiven für die Gestaltung effektiver Lösungen sind. Durch die aktive Beteiligung an nachhaltigen Lebensstilentscheidungen und Gemeinschaftsinitiativen, die auf den Green Deal ausgerichtet sind, werden sie die Werkzeuge erwerben, um positive Veränderungen zu initiieren und die Umweltaktivität innerhalb ihrer eigenen Gemeinschaften und darüber hinaus zu fördern. Letztendlich befähigt diese Lerneinheit junge MigrantInnen dazu, durch einen Prozess des transformativen Lernens zu Katalysatoren für eine nachhaltige Entwicklung zu werden und einen widerstandsfähigeren und umweltbewussteren Lebensstil in Übereinstimmung mit dem Green Deal anzunehmen.</w:t>
      </w:r>
    </w:p>
    <w:p w:rsidR="00000000" w:rsidDel="00000000" w:rsidP="00000000" w:rsidRDefault="00000000" w:rsidRPr="00000000" w14:paraId="0000007B">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Dauer</w:t>
      </w:r>
    </w:p>
    <w:tbl>
      <w:tblPr>
        <w:tblStyle w:val="Table4"/>
        <w:tblW w:w="8105.0"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93"/>
        <w:gridCol w:w="1809"/>
        <w:gridCol w:w="1476"/>
        <w:tblGridChange w:id="0">
          <w:tblGrid>
            <w:gridCol w:w="1526"/>
            <w:gridCol w:w="1701"/>
            <w:gridCol w:w="1593"/>
            <w:gridCol w:w="1809"/>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7C">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Kontakt-Stunden</w:t>
            </w:r>
          </w:p>
        </w:tc>
        <w:tc>
          <w:tcPr>
            <w:shd w:fill="auto" w:val="clear"/>
            <w:vAlign w:val="center"/>
          </w:tcPr>
          <w:p w:rsidR="00000000" w:rsidDel="00000000" w:rsidP="00000000" w:rsidRDefault="00000000" w:rsidRPr="00000000" w14:paraId="0000007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Praktische Stunden</w:t>
            </w:r>
          </w:p>
        </w:tc>
        <w:tc>
          <w:tcPr>
            <w:shd w:fill="auto" w:val="clear"/>
            <w:vAlign w:val="center"/>
          </w:tcPr>
          <w:p w:rsidR="00000000" w:rsidDel="00000000" w:rsidP="00000000" w:rsidRDefault="00000000" w:rsidRPr="00000000" w14:paraId="0000007E">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Selbstlernstunden</w:t>
            </w:r>
          </w:p>
        </w:tc>
        <w:tc>
          <w:tcPr>
            <w:shd w:fill="auto" w:val="clear"/>
            <w:vAlign w:val="center"/>
          </w:tcPr>
          <w:p w:rsidR="00000000" w:rsidDel="00000000" w:rsidP="00000000" w:rsidRDefault="00000000" w:rsidRPr="00000000" w14:paraId="0000007F">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Bewertungsstunden</w:t>
            </w:r>
          </w:p>
        </w:tc>
        <w:tc>
          <w:tcPr>
            <w:shd w:fill="auto" w:val="clear"/>
            <w:vAlign w:val="center"/>
          </w:tcPr>
          <w:p w:rsidR="00000000" w:rsidDel="00000000" w:rsidP="00000000" w:rsidRDefault="00000000" w:rsidRPr="00000000" w14:paraId="00000080">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GESAMT</w:t>
            </w:r>
          </w:p>
        </w:tc>
      </w:tr>
      <w:tr>
        <w:trPr>
          <w:cantSplit w:val="0"/>
          <w:trHeight w:val="247" w:hRule="atLeast"/>
          <w:tblHeader w:val="0"/>
        </w:trPr>
        <w:tc>
          <w:tcPr>
            <w:vAlign w:val="center"/>
          </w:tcPr>
          <w:p w:rsidR="00000000" w:rsidDel="00000000" w:rsidP="00000000" w:rsidRDefault="00000000" w:rsidRPr="00000000" w14:paraId="00000081">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082">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08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vAlign w:val="center"/>
          </w:tcPr>
          <w:p w:rsidR="00000000" w:rsidDel="00000000" w:rsidP="00000000" w:rsidRDefault="00000000" w:rsidRPr="00000000" w14:paraId="00000084">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085">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086">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87">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Bibliographie</w:t>
      </w:r>
    </w:p>
    <w:p w:rsidR="00000000" w:rsidDel="00000000" w:rsidP="00000000" w:rsidRDefault="00000000" w:rsidRPr="00000000" w14:paraId="00000088">
      <w:pPr>
        <w:spacing w:after="120" w:lineRule="auto"/>
        <w:jc w:val="both"/>
        <w:rPr>
          <w:rFonts w:ascii="Arial" w:cs="Arial" w:eastAsia="Arial" w:hAnsi="Arial"/>
          <w:color w:val="366091"/>
          <w:sz w:val="20"/>
          <w:szCs w:val="20"/>
          <w:highlight w:val="white"/>
        </w:rPr>
      </w:pPr>
      <w:r w:rsidDel="00000000" w:rsidR="00000000" w:rsidRPr="00000000">
        <w:rPr>
          <w:rFonts w:ascii="Arial" w:cs="Arial" w:eastAsia="Arial" w:hAnsi="Arial"/>
          <w:color w:val="366091"/>
          <w:sz w:val="20"/>
          <w:szCs w:val="20"/>
          <w:highlight w:val="white"/>
          <w:rtl w:val="0"/>
        </w:rPr>
        <w:t xml:space="preserve">Borgonovi, F., et al. (2022), "The environmental sustainability competence toolbox: From leaving a better planet for our children to leaving better children for our planet", </w:t>
      </w:r>
      <w:r w:rsidDel="00000000" w:rsidR="00000000" w:rsidRPr="00000000">
        <w:rPr>
          <w:rFonts w:ascii="Arial" w:cs="Arial" w:eastAsia="Arial" w:hAnsi="Arial"/>
          <w:i w:val="1"/>
          <w:color w:val="366091"/>
          <w:sz w:val="20"/>
          <w:szCs w:val="20"/>
          <w:highlight w:val="white"/>
          <w:rtl w:val="0"/>
        </w:rPr>
        <w:t xml:space="preserve">OECD Social, Employment and Migration Working Papers</w:t>
      </w:r>
      <w:r w:rsidDel="00000000" w:rsidR="00000000" w:rsidRPr="00000000">
        <w:rPr>
          <w:rFonts w:ascii="Arial" w:cs="Arial" w:eastAsia="Arial" w:hAnsi="Arial"/>
          <w:color w:val="366091"/>
          <w:sz w:val="20"/>
          <w:szCs w:val="20"/>
          <w:highlight w:val="white"/>
          <w:rtl w:val="0"/>
        </w:rPr>
        <w:t xml:space="preserve">, No. 275, OECD Publishing, Paris, </w:t>
      </w:r>
      <w:hyperlink r:id="rId22">
        <w:r w:rsidDel="00000000" w:rsidR="00000000" w:rsidRPr="00000000">
          <w:rPr>
            <w:rFonts w:ascii="Arial" w:cs="Arial" w:eastAsia="Arial" w:hAnsi="Arial"/>
            <w:color w:val="1155cc"/>
            <w:sz w:val="20"/>
            <w:szCs w:val="20"/>
            <w:highlight w:val="white"/>
            <w:u w:val="single"/>
            <w:rtl w:val="0"/>
          </w:rPr>
          <w:t xml:space="preserve">https://doi.org/10.1787/27991ec0-en</w:t>
        </w:r>
      </w:hyperlink>
      <w:r w:rsidDel="00000000" w:rsidR="00000000" w:rsidRPr="00000000">
        <w:rPr>
          <w:rFonts w:ascii="Arial" w:cs="Arial" w:eastAsia="Arial" w:hAnsi="Arial"/>
          <w:color w:val="366091"/>
          <w:sz w:val="20"/>
          <w:szCs w:val="20"/>
          <w:highlight w:val="white"/>
          <w:rtl w:val="0"/>
        </w:rPr>
        <w:t xml:space="preserve">.</w:t>
      </w:r>
    </w:p>
    <w:p w:rsidR="00000000" w:rsidDel="00000000" w:rsidP="00000000" w:rsidRDefault="00000000" w:rsidRPr="00000000" w14:paraId="00000089">
      <w:pPr>
        <w:spacing w:after="120" w:lineRule="auto"/>
        <w:jc w:val="both"/>
        <w:rPr>
          <w:rFonts w:ascii="Arial" w:cs="Arial" w:eastAsia="Arial" w:hAnsi="Arial"/>
          <w:color w:val="366091"/>
          <w:sz w:val="20"/>
          <w:szCs w:val="20"/>
          <w:highlight w:val="white"/>
        </w:rPr>
      </w:pPr>
      <w:r w:rsidDel="00000000" w:rsidR="00000000" w:rsidRPr="00000000">
        <w:rPr>
          <w:rFonts w:ascii="Arial" w:cs="Arial" w:eastAsia="Arial" w:hAnsi="Arial"/>
          <w:color w:val="366091"/>
          <w:sz w:val="20"/>
          <w:szCs w:val="20"/>
          <w:highlight w:val="white"/>
          <w:rtl w:val="0"/>
        </w:rPr>
        <w:t xml:space="preserve">Abbas, K., et al. (2013), "Sustainable consumption and lifestyles? Children and youth in cities", in </w:t>
      </w:r>
      <w:r w:rsidDel="00000000" w:rsidR="00000000" w:rsidRPr="00000000">
        <w:rPr>
          <w:rFonts w:ascii="Arial" w:cs="Arial" w:eastAsia="Arial" w:hAnsi="Arial"/>
          <w:i w:val="1"/>
          <w:color w:val="366091"/>
          <w:sz w:val="20"/>
          <w:szCs w:val="20"/>
          <w:highlight w:val="white"/>
          <w:rtl w:val="0"/>
        </w:rPr>
        <w:t xml:space="preserve">World Social Science Report 2013: Changing Global Environments</w:t>
      </w:r>
      <w:r w:rsidDel="00000000" w:rsidR="00000000" w:rsidRPr="00000000">
        <w:rPr>
          <w:rFonts w:ascii="Arial" w:cs="Arial" w:eastAsia="Arial" w:hAnsi="Arial"/>
          <w:color w:val="366091"/>
          <w:sz w:val="20"/>
          <w:szCs w:val="20"/>
          <w:highlight w:val="white"/>
          <w:rtl w:val="0"/>
        </w:rPr>
        <w:t xml:space="preserve">, OECD Publishing, Paris/UNESCO Publishing, Paris, </w:t>
      </w:r>
      <w:hyperlink r:id="rId23">
        <w:r w:rsidDel="00000000" w:rsidR="00000000" w:rsidRPr="00000000">
          <w:rPr>
            <w:rFonts w:ascii="Arial" w:cs="Arial" w:eastAsia="Arial" w:hAnsi="Arial"/>
            <w:color w:val="1155cc"/>
            <w:sz w:val="20"/>
            <w:szCs w:val="20"/>
            <w:highlight w:val="white"/>
            <w:u w:val="single"/>
            <w:rtl w:val="0"/>
          </w:rPr>
          <w:t xml:space="preserve">https://doi.org/10.1787/9789264203419-60-en</w:t>
        </w:r>
      </w:hyperlink>
      <w:r w:rsidDel="00000000" w:rsidR="00000000" w:rsidRPr="00000000">
        <w:rPr>
          <w:rFonts w:ascii="Arial" w:cs="Arial" w:eastAsia="Arial" w:hAnsi="Arial"/>
          <w:color w:val="366091"/>
          <w:sz w:val="20"/>
          <w:szCs w:val="20"/>
          <w:highlight w:val="white"/>
          <w:rtl w:val="0"/>
        </w:rPr>
        <w:t xml:space="preserve">.</w:t>
      </w:r>
    </w:p>
    <w:p w:rsidR="00000000" w:rsidDel="00000000" w:rsidP="00000000" w:rsidRDefault="00000000" w:rsidRPr="00000000" w14:paraId="0000008A">
      <w:pPr>
        <w:spacing w:after="120" w:lineRule="auto"/>
        <w:jc w:val="both"/>
        <w:rPr>
          <w:rFonts w:ascii="Arial" w:cs="Arial" w:eastAsia="Arial" w:hAnsi="Arial"/>
          <w:color w:val="366091"/>
          <w:sz w:val="20"/>
          <w:szCs w:val="20"/>
        </w:rPr>
      </w:pPr>
      <w:r w:rsidDel="00000000" w:rsidR="00000000" w:rsidRPr="00000000">
        <w:rPr>
          <w:rFonts w:ascii="Arial" w:cs="Arial" w:eastAsia="Arial" w:hAnsi="Arial"/>
          <w:color w:val="366091"/>
          <w:sz w:val="20"/>
          <w:szCs w:val="20"/>
          <w:rtl w:val="0"/>
        </w:rPr>
        <w:t xml:space="preserve">Riddle, L. (2017), Diaspora engagement and the Sustainable Development Goals. In: Migration in the 2030 Agenda. (Gervais Appave, Neha Sinha, eds.). International Organization for Migration, Geneva.</w:t>
      </w:r>
    </w:p>
    <w:p w:rsidR="00000000" w:rsidDel="00000000" w:rsidP="00000000" w:rsidRDefault="00000000" w:rsidRPr="00000000" w14:paraId="0000008B">
      <w:pPr>
        <w:spacing w:after="120" w:lineRule="auto"/>
        <w:jc w:val="both"/>
        <w:rPr>
          <w:rFonts w:ascii="Arial" w:cs="Arial" w:eastAsia="Arial" w:hAnsi="Arial"/>
          <w:color w:val="366091"/>
          <w:sz w:val="20"/>
          <w:szCs w:val="20"/>
          <w:highlight w:val="white"/>
        </w:rPr>
      </w:pPr>
      <w:r w:rsidDel="00000000" w:rsidR="00000000" w:rsidRPr="00000000">
        <w:rPr>
          <w:rFonts w:ascii="Arial" w:cs="Arial" w:eastAsia="Arial" w:hAnsi="Arial"/>
          <w:color w:val="366091"/>
          <w:sz w:val="20"/>
          <w:szCs w:val="20"/>
          <w:highlight w:val="white"/>
          <w:rtl w:val="0"/>
        </w:rPr>
        <w:t xml:space="preserve">Franco Gavonel, Maria &amp; Adger, W. &amp; Safra de Campos, Ricardo &amp; Boyd, Emily &amp; Carr, Edward &amp; Fábos, Anita &amp; Fransen, Sonja &amp; Jolivet, Dominique &amp; Zickgraf, Caroline &amp; Codjoe, Samuel &amp; Abu, Mumuni &amp; Siddiqui, Tasneem. (2021). The migration-sustainability paradox: transformations in mobile worlds. Current Opinion in Environmental Sustainability. 49. 98-109. 10.1016/j.cosust.2021.03.013.</w:t>
      </w:r>
    </w:p>
    <w:p w:rsidR="00000000" w:rsidDel="00000000" w:rsidP="00000000" w:rsidRDefault="00000000" w:rsidRPr="00000000" w14:paraId="0000008C">
      <w:pPr>
        <w:spacing w:after="120" w:lineRule="auto"/>
        <w:jc w:val="both"/>
        <w:rPr>
          <w:rFonts w:ascii="Avenir" w:cs="Avenir" w:eastAsia="Avenir" w:hAnsi="Avenir"/>
          <w:color w:val="000000"/>
        </w:rPr>
      </w:pPr>
      <w:r w:rsidDel="00000000" w:rsidR="00000000" w:rsidRPr="00000000">
        <w:rPr>
          <w:rFonts w:ascii="Arial" w:cs="Arial" w:eastAsia="Arial" w:hAnsi="Arial"/>
          <w:color w:val="366091"/>
          <w:sz w:val="20"/>
          <w:szCs w:val="20"/>
          <w:highlight w:val="white"/>
          <w:rtl w:val="0"/>
        </w:rPr>
        <w:t xml:space="preserve">Borgonovi, F., et al. (2022), "Young people’s environmental sustainability competence: Emotional, cognitive, behavioural, and attitudinal dimensions in EU and OECD countries", </w:t>
      </w:r>
      <w:r w:rsidDel="00000000" w:rsidR="00000000" w:rsidRPr="00000000">
        <w:rPr>
          <w:rFonts w:ascii="Arial" w:cs="Arial" w:eastAsia="Arial" w:hAnsi="Arial"/>
          <w:i w:val="1"/>
          <w:color w:val="366091"/>
          <w:sz w:val="20"/>
          <w:szCs w:val="20"/>
          <w:highlight w:val="white"/>
          <w:rtl w:val="0"/>
        </w:rPr>
        <w:t xml:space="preserve">OECD Social, Employment and Migration Working Papers</w:t>
      </w:r>
      <w:r w:rsidDel="00000000" w:rsidR="00000000" w:rsidRPr="00000000">
        <w:rPr>
          <w:rFonts w:ascii="Arial" w:cs="Arial" w:eastAsia="Arial" w:hAnsi="Arial"/>
          <w:color w:val="366091"/>
          <w:sz w:val="20"/>
          <w:szCs w:val="20"/>
          <w:highlight w:val="white"/>
          <w:rtl w:val="0"/>
        </w:rPr>
        <w:t xml:space="preserve">, No. 274, OECD Publishing, Paris, </w:t>
      </w:r>
      <w:hyperlink r:id="rId24">
        <w:r w:rsidDel="00000000" w:rsidR="00000000" w:rsidRPr="00000000">
          <w:rPr>
            <w:rFonts w:ascii="Arial" w:cs="Arial" w:eastAsia="Arial" w:hAnsi="Arial"/>
            <w:color w:val="1155cc"/>
            <w:sz w:val="20"/>
            <w:szCs w:val="20"/>
            <w:highlight w:val="white"/>
            <w:u w:val="single"/>
            <w:rtl w:val="0"/>
          </w:rPr>
          <w:t xml:space="preserve">https://doi.org/10.1787/1097a78c-en</w:t>
        </w:r>
      </w:hyperlink>
      <w:r w:rsidDel="00000000" w:rsidR="00000000" w:rsidRPr="00000000">
        <w:rPr>
          <w:rFonts w:ascii="Arial" w:cs="Arial" w:eastAsia="Arial" w:hAnsi="Arial"/>
          <w:color w:val="366091"/>
          <w:sz w:val="20"/>
          <w:szCs w:val="20"/>
          <w:highlight w:val="white"/>
          <w:rtl w:val="0"/>
        </w:rPr>
        <w:t xml:space="preserve">.</w:t>
      </w:r>
      <w:r w:rsidDel="00000000" w:rsidR="00000000" w:rsidRPr="00000000">
        <w:br w:type="page"/>
      </w:r>
      <w:r w:rsidDel="00000000" w:rsidR="00000000" w:rsidRPr="00000000">
        <w:rPr>
          <w:rtl w:val="0"/>
        </w:rPr>
      </w:r>
    </w:p>
    <w:tbl>
      <w:tblPr>
        <w:tblStyle w:val="Table5"/>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8D">
            <w:pPr>
              <w:pStyle w:val="Heading2"/>
              <w:spacing w:after="60" w:before="60" w:lineRule="auto"/>
              <w:rPr>
                <w:rFonts w:ascii="Verdana" w:cs="Verdana" w:eastAsia="Verdana" w:hAnsi="Verdana"/>
                <w:b w:val="1"/>
                <w:color w:val="ffffff"/>
                <w:sz w:val="40"/>
                <w:szCs w:val="40"/>
              </w:rPr>
            </w:pPr>
            <w:bookmarkStart w:colFirst="0" w:colLast="0" w:name="_heading=h.tyjcwt" w:id="5"/>
            <w:bookmarkEnd w:id="5"/>
            <w:r w:rsidDel="00000000" w:rsidR="00000000" w:rsidRPr="00000000">
              <w:rPr>
                <w:rFonts w:ascii="Verdana" w:cs="Verdana" w:eastAsia="Verdana" w:hAnsi="Verdana"/>
                <w:b w:val="1"/>
                <w:color w:val="ffffff"/>
                <w:sz w:val="40"/>
                <w:szCs w:val="40"/>
                <w:rtl w:val="0"/>
              </w:rPr>
              <w:t xml:space="preserve">Einheit  2: Umweltbewusstsein und nachhaltiges Leben</w:t>
            </w:r>
          </w:p>
        </w:tc>
      </w:tr>
    </w:tbl>
    <w:p w:rsidR="00000000" w:rsidDel="00000000" w:rsidP="00000000" w:rsidRDefault="00000000" w:rsidRPr="00000000" w14:paraId="0000008E">
      <w:pPr>
        <w:spacing w:after="160" w:line="240" w:lineRule="auto"/>
        <w:jc w:val="both"/>
        <w:rPr>
          <w:rFonts w:ascii="Avenir" w:cs="Avenir" w:eastAsia="Avenir" w:hAnsi="Avenir"/>
        </w:rPr>
      </w:pPr>
      <w:r w:rsidDel="00000000" w:rsidR="00000000" w:rsidRPr="00000000">
        <w:rPr>
          <w:rtl w:val="0"/>
        </w:rPr>
      </w:r>
    </w:p>
    <w:tbl>
      <w:tblPr>
        <w:tblStyle w:val="Table6"/>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8F">
            <w:pPr>
              <w:jc w:val="center"/>
              <w:rPr>
                <w:rFonts w:ascii="Avenir" w:cs="Avenir" w:eastAsia="Avenir" w:hAnsi="Avenir"/>
                <w:b w:val="1"/>
                <w:color w:val="ffffff"/>
                <w:sz w:val="24"/>
                <w:szCs w:val="24"/>
              </w:rPr>
            </w:pPr>
            <w:r w:rsidDel="00000000" w:rsidR="00000000" w:rsidRPr="00000000">
              <w:rPr>
                <w:rFonts w:ascii="Avenir" w:cs="Avenir" w:eastAsia="Avenir" w:hAnsi="Avenir"/>
                <w:b w:val="1"/>
                <w:color w:val="ffffff"/>
                <w:sz w:val="24"/>
                <w:szCs w:val="24"/>
                <w:rtl w:val="0"/>
              </w:rPr>
              <w:t xml:space="preserve">LERNERGEBNISSE</w:t>
            </w:r>
          </w:p>
        </w:tc>
      </w:tr>
    </w:tbl>
    <w:p w:rsidR="00000000" w:rsidDel="00000000" w:rsidP="00000000" w:rsidRDefault="00000000" w:rsidRPr="00000000" w14:paraId="00000090">
      <w:pPr>
        <w:spacing w:after="0" w:line="240" w:lineRule="auto"/>
        <w:rPr>
          <w:rFonts w:ascii="Avenir" w:cs="Avenir" w:eastAsia="Avenir" w:hAnsi="Avenir"/>
          <w:color w:val="366091"/>
          <w:sz w:val="28"/>
          <w:szCs w:val="28"/>
        </w:rPr>
      </w:pPr>
      <w:r w:rsidDel="00000000" w:rsidR="00000000" w:rsidRPr="00000000">
        <w:rPr>
          <w:rFonts w:ascii="Avenir" w:cs="Avenir" w:eastAsia="Avenir" w:hAnsi="Avenir"/>
          <w:color w:val="000000"/>
        </w:rPr>
        <mc:AlternateContent>
          <mc:Choice Requires="wpg">
            <w:drawing>
              <wp:inline distB="0" distT="0" distL="0" distR="0">
                <wp:extent cx="5400040" cy="6217920"/>
                <wp:effectExtent b="0" l="0" r="0" t="0"/>
                <wp:docPr id="22" name=""/>
                <a:graphic>
                  <a:graphicData uri="http://schemas.microsoft.com/office/word/2010/wordprocessingGroup">
                    <wpg:wgp>
                      <wpg:cNvGrpSpPr/>
                      <wpg:grpSpPr>
                        <a:xfrm>
                          <a:off x="2645975" y="671025"/>
                          <a:ext cx="5400040" cy="6217920"/>
                          <a:chOff x="2645975" y="671025"/>
                          <a:chExt cx="5400050" cy="6217950"/>
                        </a:xfrm>
                      </wpg:grpSpPr>
                      <wpg:grpSp>
                        <wpg:cNvGrpSpPr/>
                        <wpg:grpSpPr>
                          <a:xfrm>
                            <a:off x="2645980" y="671040"/>
                            <a:ext cx="5400040" cy="6217920"/>
                            <a:chOff x="2645975" y="2140000"/>
                            <a:chExt cx="5400050" cy="3280000"/>
                          </a:xfrm>
                        </wpg:grpSpPr>
                        <wps:wsp>
                          <wps:cNvSpPr/>
                          <wps:cNvPr id="3" name="Shape 3"/>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102" name="Shape 102"/>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104" name="Shape 104"/>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5" name="Shape 105"/>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6" name="Shape 106"/>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7" name="Shape 107"/>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Kenntnisse</w:t>
                                    </w:r>
                                  </w:p>
                                </w:txbxContent>
                              </wps:txbx>
                              <wps:bodyPr anchorCtr="0" anchor="t" bIns="0" lIns="0" spcFirstLastPara="1" rIns="62225" wrap="square" tIns="48000">
                                <a:noAutofit/>
                              </wps:bodyPr>
                            </wps:wsp>
                            <wps:wsp>
                              <wps:cNvSpPr/>
                              <wps:cNvPr id="108" name="Shape 108"/>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9" name="Shape 109"/>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0" name="Shape 110"/>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Fähigkeiten</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111" name="Shape 111"/>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2" name="Shape 112"/>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3" name="Shape 113"/>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Verantwortung und Autonomie</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114" name="Shape 114"/>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5400040" cy="6217920"/>
                <wp:effectExtent b="0" l="0" r="0" t="0"/>
                <wp:docPr id="22" name="image29.png"/>
                <a:graphic>
                  <a:graphicData uri="http://schemas.openxmlformats.org/drawingml/2006/picture">
                    <pic:pic>
                      <pic:nvPicPr>
                        <pic:cNvPr id="0" name="image29.png"/>
                        <pic:cNvPicPr preferRelativeResize="0"/>
                      </pic:nvPicPr>
                      <pic:blipFill>
                        <a:blip r:embed="rId25"/>
                        <a:srcRect/>
                        <a:stretch>
                          <a:fillRect/>
                        </a:stretch>
                      </pic:blipFill>
                      <pic:spPr>
                        <a:xfrm>
                          <a:off x="0" y="0"/>
                          <a:ext cx="5400040" cy="6217920"/>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609600</wp:posOffset>
                </wp:positionV>
                <wp:extent cx="1376312" cy="5072414"/>
                <wp:effectExtent b="0" l="0" r="0" t="0"/>
                <wp:wrapNone/>
                <wp:docPr id="3" name=""/>
                <a:graphic>
                  <a:graphicData uri="http://schemas.microsoft.com/office/word/2010/wordprocessingShape">
                    <wps:wsp>
                      <wps:cNvSpPr/>
                      <wps:cNvPr id="19" name="Shape 19"/>
                      <wps:spPr>
                        <a:xfrm>
                          <a:off x="4662607" y="1248556"/>
                          <a:ext cx="1366787" cy="5062889"/>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t xml:space="preserve">K1. Verständnis der grundlegenden Konzepte des Umweltbewusstseins und der nachhaltigen Lebensweise, einschließlich der Vernetzung ökologischer Systeme und der Auswirkungen menschlicher Aktivitäten auf die Umwelt.</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K2. Erwerb von Kenntnissen über verschiedene Umweltprobleme wie Klimawandel, Abholzung, Umweltverschmutzung und Ressourcenerschöpfung sowie deren Auswirkungen auf heutige und künftige Generationen.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K3. Erwerb von Kenntnissen über nachhaltige Praktiken und Lösungen, einschließlich erneuerbarer Energien, Abfallwirtschaft, Umweltschutz und verantwortungsvollem Konsum.</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609600</wp:posOffset>
                </wp:positionV>
                <wp:extent cx="1376312" cy="5072414"/>
                <wp:effectExtent b="0" l="0" r="0" t="0"/>
                <wp:wrapNone/>
                <wp:docPr id="3" name="image5.png"/>
                <a:graphic>
                  <a:graphicData uri="http://schemas.openxmlformats.org/drawingml/2006/picture">
                    <pic:pic>
                      <pic:nvPicPr>
                        <pic:cNvPr id="0" name="image5.png"/>
                        <pic:cNvPicPr preferRelativeResize="0"/>
                      </pic:nvPicPr>
                      <pic:blipFill>
                        <a:blip r:embed="rId26"/>
                        <a:srcRect/>
                        <a:stretch>
                          <a:fillRect/>
                        </a:stretch>
                      </pic:blipFill>
                      <pic:spPr>
                        <a:xfrm>
                          <a:off x="0" y="0"/>
                          <a:ext cx="1376312" cy="5072414"/>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2146300</wp:posOffset>
                </wp:positionH>
                <wp:positionV relativeFrom="paragraph">
                  <wp:posOffset>609600</wp:posOffset>
                </wp:positionV>
                <wp:extent cx="1221740" cy="5072380"/>
                <wp:effectExtent b="0" l="0" r="0" t="0"/>
                <wp:wrapNone/>
                <wp:docPr id="2" name=""/>
                <a:graphic>
                  <a:graphicData uri="http://schemas.microsoft.com/office/word/2010/wordprocessingShape">
                    <wps:wsp>
                      <wps:cNvSpPr/>
                      <wps:cNvPr id="18" name="Shape 18"/>
                      <wps:spPr>
                        <a:xfrm>
                          <a:off x="4739893" y="1248573"/>
                          <a:ext cx="1212215" cy="5062855"/>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t xml:space="preserve">F1. Entwicklung von Fähigkeiten zum kritischen Denken, um Umweltprobleme zu analysieren und zu bewerten und wirksame Lösungen vorzuschlagen.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F2. Verbesserung der Recherchefähigkeiten, um Informationen zu Umweltfragen und nachhaltigem Leben zu sammeln und zu interpretieren.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F3. Entwicklung von Problemlösungsfähigkeiten, um reale Umweltprobleme anzugehen und zu einer nachhaltigen Entwicklung beizutragen.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2146300</wp:posOffset>
                </wp:positionH>
                <wp:positionV relativeFrom="paragraph">
                  <wp:posOffset>609600</wp:posOffset>
                </wp:positionV>
                <wp:extent cx="1221740" cy="5072380"/>
                <wp:effectExtent b="0" l="0" r="0" t="0"/>
                <wp:wrapNone/>
                <wp:docPr id="2" name="image4.png"/>
                <a:graphic>
                  <a:graphicData uri="http://schemas.openxmlformats.org/drawingml/2006/picture">
                    <pic:pic>
                      <pic:nvPicPr>
                        <pic:cNvPr id="0" name="image4.png"/>
                        <pic:cNvPicPr preferRelativeResize="0"/>
                      </pic:nvPicPr>
                      <pic:blipFill>
                        <a:blip r:embed="rId27"/>
                        <a:srcRect/>
                        <a:stretch>
                          <a:fillRect/>
                        </a:stretch>
                      </pic:blipFill>
                      <pic:spPr>
                        <a:xfrm>
                          <a:off x="0" y="0"/>
                          <a:ext cx="1221740" cy="507238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3810000</wp:posOffset>
                </wp:positionH>
                <wp:positionV relativeFrom="paragraph">
                  <wp:posOffset>622300</wp:posOffset>
                </wp:positionV>
                <wp:extent cx="1449315" cy="4736325"/>
                <wp:effectExtent b="0" l="0" r="0" t="0"/>
                <wp:wrapNone/>
                <wp:docPr id="15" name=""/>
                <a:graphic>
                  <a:graphicData uri="http://schemas.microsoft.com/office/word/2010/wordprocessingShape">
                    <wps:wsp>
                      <wps:cNvSpPr/>
                      <wps:cNvPr id="45" name="Shape 45"/>
                      <wps:spPr>
                        <a:xfrm>
                          <a:off x="4626105" y="1416600"/>
                          <a:ext cx="1439790" cy="4726800"/>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V/A1. Entwicklung eines Verantwortungsbewusstseins für die Umwelt und Verständnis für die Bedeutung individueller und kollektiver Maßnahmen zur Förderung der Nachhaltigkeit.</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V/A2. Erkennen der Rolle der Umweltverantwortung und der Notwendigkeit, die natürlichen Ressourcen zum Wohl aller Lebewesen zu schützen und zu erhalten.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V/A3. Entwicklung der Fähigkeit, fundierte Entscheidungen zu treffen und verantwortungsbewusst zu handeln, um ein nachhaltiges Leben im Alltag zu fördern.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3810000</wp:posOffset>
                </wp:positionH>
                <wp:positionV relativeFrom="paragraph">
                  <wp:posOffset>622300</wp:posOffset>
                </wp:positionV>
                <wp:extent cx="1449315" cy="4736325"/>
                <wp:effectExtent b="0" l="0" r="0" t="0"/>
                <wp:wrapNone/>
                <wp:docPr id="15" name="image17.png"/>
                <a:graphic>
                  <a:graphicData uri="http://schemas.openxmlformats.org/drawingml/2006/picture">
                    <pic:pic>
                      <pic:nvPicPr>
                        <pic:cNvPr id="0" name="image17.png"/>
                        <pic:cNvPicPr preferRelativeResize="0"/>
                      </pic:nvPicPr>
                      <pic:blipFill>
                        <a:blip r:embed="rId28"/>
                        <a:srcRect/>
                        <a:stretch>
                          <a:fillRect/>
                        </a:stretch>
                      </pic:blipFill>
                      <pic:spPr>
                        <a:xfrm>
                          <a:off x="0" y="0"/>
                          <a:ext cx="1449315" cy="4736325"/>
                        </a:xfrm>
                        <a:prstGeom prst="rect"/>
                        <a:ln/>
                      </pic:spPr>
                    </pic:pic>
                  </a:graphicData>
                </a:graphic>
              </wp:anchor>
            </w:drawing>
          </mc:Fallback>
        </mc:AlternateContent>
      </w:r>
    </w:p>
    <w:p w:rsidR="00000000" w:rsidDel="00000000" w:rsidP="00000000" w:rsidRDefault="00000000" w:rsidRPr="00000000" w14:paraId="00000091">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Ziel der Lerneinheit</w:t>
      </w:r>
    </w:p>
    <w:p w:rsidR="00000000" w:rsidDel="00000000" w:rsidP="00000000" w:rsidRDefault="00000000" w:rsidRPr="00000000" w14:paraId="00000092">
      <w:pPr>
        <w:spacing w:after="0" w:line="240" w:lineRule="auto"/>
        <w:rPr>
          <w:rFonts w:ascii="Avenir" w:cs="Avenir" w:eastAsia="Avenir" w:hAnsi="Avenir"/>
        </w:rPr>
      </w:pPr>
      <w:r w:rsidDel="00000000" w:rsidR="00000000" w:rsidRPr="00000000">
        <w:rPr>
          <w:rtl w:val="0"/>
        </w:rPr>
      </w:r>
    </w:p>
    <w:p w:rsidR="00000000" w:rsidDel="00000000" w:rsidP="00000000" w:rsidRDefault="00000000" w:rsidRPr="00000000" w14:paraId="00000093">
      <w:pPr>
        <w:spacing w:after="0" w:line="240" w:lineRule="auto"/>
        <w:rPr>
          <w:rFonts w:ascii="Avenir" w:cs="Avenir" w:eastAsia="Avenir" w:hAnsi="Avenir"/>
        </w:rPr>
      </w:pPr>
      <w:r w:rsidDel="00000000" w:rsidR="00000000" w:rsidRPr="00000000">
        <w:rPr>
          <w:rFonts w:ascii="Avenir" w:cs="Avenir" w:eastAsia="Avenir" w:hAnsi="Avenir"/>
          <w:rtl w:val="0"/>
        </w:rPr>
        <w:t xml:space="preserve">Um sich zu umweltbewussten Menschen zu entwickeln, die aktiv zur Schaffung einer nachhaltigeren und umweltfreundlicheren Welt beitragen.</w:t>
      </w:r>
    </w:p>
    <w:p w:rsidR="00000000" w:rsidDel="00000000" w:rsidP="00000000" w:rsidRDefault="00000000" w:rsidRPr="00000000" w14:paraId="00000094">
      <w:pPr>
        <w:spacing w:after="0" w:line="240" w:lineRule="auto"/>
        <w:rPr>
          <w:rFonts w:ascii="Avenir" w:cs="Avenir" w:eastAsia="Avenir" w:hAnsi="Avenir"/>
          <w:color w:val="000000"/>
        </w:rPr>
      </w:pPr>
      <w:r w:rsidDel="00000000" w:rsidR="00000000" w:rsidRPr="00000000">
        <w:rPr>
          <w:rtl w:val="0"/>
        </w:rPr>
      </w:r>
    </w:p>
    <w:p w:rsidR="00000000" w:rsidDel="00000000" w:rsidP="00000000" w:rsidRDefault="00000000" w:rsidRPr="00000000" w14:paraId="00000095">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96">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97">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Beschreibung der Lerneinheit</w:t>
      </w:r>
    </w:p>
    <w:p w:rsidR="00000000" w:rsidDel="00000000" w:rsidP="00000000" w:rsidRDefault="00000000" w:rsidRPr="00000000" w14:paraId="00000098">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Umweltbewusstsein bezieht sich auf das Verständnis und die Anerkennung der natürlichen Welt, einschließlich ihrer Ökosysteme, Ressourcen und der Auswirkungen menschlicher Aktivitäten auf die Umwelt. Es bedeutet, sich der Wechselbeziehung zwischen Mensch und Umwelt bewusst zu sein und zu erkennen, wie wichtig es ist, die Ökosysteme der Erde für das Wohlergehen heutiger und künftiger Generationen zu erhalten und zu schützen.</w:t>
      </w:r>
    </w:p>
    <w:p w:rsidR="00000000" w:rsidDel="00000000" w:rsidP="00000000" w:rsidRDefault="00000000" w:rsidRPr="00000000" w14:paraId="00000099">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Eine nachhaltige Lebensweise hingegen bezieht sich auf einen Lebensstil, der die negativen Auswirkungen auf die Umwelt minimiert und ein Gleichgewicht zwischen den menschlichen Bedürfnissen und der natürlichen Welt anstrebt. Dazu gehören Praktiken und Entscheidungen, die eine effiziente Ressourcennutzung, die Verringerung von Abfall und Verschmutzung sowie die Erhaltung der biologischen Vielfalt fördern. Ein nachhaltiger Lebensstil umfasst verschiedene Aspekte des Lebens, darunter Energieverbrauch, Abfallmanagement, Transport, Lebensmittelauswahl und Verbrauchsmuster.</w:t>
      </w:r>
    </w:p>
    <w:p w:rsidR="00000000" w:rsidDel="00000000" w:rsidP="00000000" w:rsidRDefault="00000000" w:rsidRPr="00000000" w14:paraId="0000009A">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Insgesamt sind Umweltbewusstsein und nachhaltige Lebensweise eng miteinander verbundene Konzepte, die die Notwendigkeit betonen, dass Einzelpersonen und Gemeinschaften informiert, verantwortungsbewusst und proaktiv handeln, um die Umwelt zu schützen und zu erhalten und gleichzeitig das Wohlergehen und die Nachhaltigkeit unseres Planeten zu gewährleisten.</w:t>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9C">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Dauer</w:t>
      </w:r>
    </w:p>
    <w:tbl>
      <w:tblPr>
        <w:tblStyle w:val="Table7"/>
        <w:tblW w:w="8105.0"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34"/>
        <w:gridCol w:w="1809"/>
        <w:gridCol w:w="1476"/>
        <w:tblGridChange w:id="0">
          <w:tblGrid>
            <w:gridCol w:w="1526"/>
            <w:gridCol w:w="1701"/>
            <w:gridCol w:w="1559"/>
            <w:gridCol w:w="34"/>
            <w:gridCol w:w="1809"/>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9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Kontakt-Stunden</w:t>
            </w:r>
          </w:p>
        </w:tc>
        <w:tc>
          <w:tcPr>
            <w:shd w:fill="auto" w:val="clear"/>
            <w:vAlign w:val="center"/>
          </w:tcPr>
          <w:p w:rsidR="00000000" w:rsidDel="00000000" w:rsidP="00000000" w:rsidRDefault="00000000" w:rsidRPr="00000000" w14:paraId="0000009E">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Praktische Stunden</w:t>
            </w:r>
          </w:p>
        </w:tc>
        <w:tc>
          <w:tcPr>
            <w:gridSpan w:val="2"/>
            <w:shd w:fill="auto" w:val="clear"/>
            <w:vAlign w:val="center"/>
          </w:tcPr>
          <w:p w:rsidR="00000000" w:rsidDel="00000000" w:rsidP="00000000" w:rsidRDefault="00000000" w:rsidRPr="00000000" w14:paraId="0000009F">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Selbstlernstunden</w:t>
            </w:r>
          </w:p>
        </w:tc>
        <w:tc>
          <w:tcPr>
            <w:shd w:fill="auto" w:val="clear"/>
            <w:vAlign w:val="center"/>
          </w:tcPr>
          <w:p w:rsidR="00000000" w:rsidDel="00000000" w:rsidP="00000000" w:rsidRDefault="00000000" w:rsidRPr="00000000" w14:paraId="000000A1">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Bewertungsstunden</w:t>
            </w:r>
          </w:p>
        </w:tc>
        <w:tc>
          <w:tcPr>
            <w:shd w:fill="auto" w:val="clear"/>
            <w:vAlign w:val="center"/>
          </w:tcPr>
          <w:p w:rsidR="00000000" w:rsidDel="00000000" w:rsidP="00000000" w:rsidRDefault="00000000" w:rsidRPr="00000000" w14:paraId="000000A2">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GESAMT</w:t>
            </w:r>
          </w:p>
        </w:tc>
      </w:tr>
      <w:tr>
        <w:trPr>
          <w:cantSplit w:val="0"/>
          <w:trHeight w:val="247" w:hRule="atLeast"/>
          <w:tblHeader w:val="0"/>
        </w:trPr>
        <w:tc>
          <w:tcPr>
            <w:vAlign w:val="center"/>
          </w:tcPr>
          <w:p w:rsidR="00000000" w:rsidDel="00000000" w:rsidP="00000000" w:rsidRDefault="00000000" w:rsidRPr="00000000" w14:paraId="000000A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0A4">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0A5">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gridSpan w:val="2"/>
            <w:vAlign w:val="center"/>
          </w:tcPr>
          <w:p w:rsidR="00000000" w:rsidDel="00000000" w:rsidP="00000000" w:rsidRDefault="00000000" w:rsidRPr="00000000" w14:paraId="000000A6">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0A8">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0A9">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AA">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Bibliographie</w:t>
      </w:r>
    </w:p>
    <w:p w:rsidR="00000000" w:rsidDel="00000000" w:rsidP="00000000" w:rsidRDefault="00000000" w:rsidRPr="00000000" w14:paraId="000000AB">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Senge, P., Smith, B., Kruschwitz, N., Laur, J., &amp; Schley, S. (2008). The Necessary Revolution: How Individuals and Organizations Are Working Together to Create a Sustainable World. Broadway Business.</w:t>
      </w:r>
    </w:p>
    <w:p w:rsidR="00000000" w:rsidDel="00000000" w:rsidP="00000000" w:rsidRDefault="00000000" w:rsidRPr="00000000" w14:paraId="000000AC">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Steffen, W., Richardson, K., Rockström, J., et al. (2015). Planetary Boundaries: Guiding Human Development on a Changing Planet. Science, 347(6223), 1259855.</w:t>
      </w:r>
    </w:p>
    <w:p w:rsidR="00000000" w:rsidDel="00000000" w:rsidP="00000000" w:rsidRDefault="00000000" w:rsidRPr="00000000" w14:paraId="000000AD">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World Commission on Environment and Development. (1987). Our Common Future. Oxford University Press.</w:t>
      </w:r>
    </w:p>
    <w:p w:rsidR="00000000" w:rsidDel="00000000" w:rsidP="00000000" w:rsidRDefault="00000000" w:rsidRPr="00000000" w14:paraId="000000AE">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AF">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B0">
      <w:pPr>
        <w:spacing w:after="12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0B1">
      <w:pPr>
        <w:spacing w:after="12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0B2">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B3">
      <w:pPr>
        <w:rPr/>
      </w:pPr>
      <w:r w:rsidDel="00000000" w:rsidR="00000000" w:rsidRPr="00000000">
        <w:br w:type="page"/>
      </w:r>
      <w:r w:rsidDel="00000000" w:rsidR="00000000" w:rsidRPr="00000000">
        <w:rPr>
          <w:rtl w:val="0"/>
        </w:rPr>
      </w:r>
    </w:p>
    <w:tbl>
      <w:tblPr>
        <w:tblStyle w:val="Table8"/>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B4">
            <w:pPr>
              <w:pStyle w:val="Heading2"/>
              <w:spacing w:after="60" w:before="60" w:lineRule="auto"/>
              <w:rPr>
                <w:rFonts w:ascii="Verdana" w:cs="Verdana" w:eastAsia="Verdana" w:hAnsi="Verdana"/>
                <w:b w:val="1"/>
                <w:color w:val="ffffff"/>
                <w:sz w:val="40"/>
                <w:szCs w:val="40"/>
              </w:rPr>
            </w:pPr>
            <w:bookmarkStart w:colFirst="0" w:colLast="0" w:name="_heading=h.3dy6vkm" w:id="6"/>
            <w:bookmarkEnd w:id="6"/>
            <w:r w:rsidDel="00000000" w:rsidR="00000000" w:rsidRPr="00000000">
              <w:rPr>
                <w:rFonts w:ascii="Verdana" w:cs="Verdana" w:eastAsia="Verdana" w:hAnsi="Verdana"/>
                <w:b w:val="1"/>
                <w:color w:val="ffffff"/>
                <w:sz w:val="40"/>
                <w:szCs w:val="40"/>
                <w:rtl w:val="0"/>
              </w:rPr>
              <w:t xml:space="preserve">Einheit  3:  Ökologische Herausforderungen und ihre Auswirkungen auf MigrantInnen</w:t>
            </w:r>
          </w:p>
        </w:tc>
      </w:tr>
    </w:tbl>
    <w:p w:rsidR="00000000" w:rsidDel="00000000" w:rsidP="00000000" w:rsidRDefault="00000000" w:rsidRPr="00000000" w14:paraId="000000B5">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B6">
      <w:pPr>
        <w:spacing w:after="0" w:line="240" w:lineRule="auto"/>
        <w:jc w:val="both"/>
        <w:rPr>
          <w:rFonts w:ascii="Avenir" w:cs="Avenir" w:eastAsia="Avenir" w:hAnsi="Avenir"/>
          <w:sz w:val="24"/>
          <w:szCs w:val="24"/>
        </w:rPr>
      </w:pPr>
      <w:r w:rsidDel="00000000" w:rsidR="00000000" w:rsidRPr="00000000">
        <w:rPr>
          <w:rtl w:val="0"/>
        </w:rPr>
      </w:r>
    </w:p>
    <w:tbl>
      <w:tblPr>
        <w:tblStyle w:val="Table9"/>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B7">
            <w:pPr>
              <w:jc w:val="center"/>
              <w:rPr>
                <w:rFonts w:ascii="Avenir" w:cs="Avenir" w:eastAsia="Avenir" w:hAnsi="Avenir"/>
                <w:b w:val="1"/>
                <w:color w:val="ffffff"/>
                <w:sz w:val="24"/>
                <w:szCs w:val="24"/>
              </w:rPr>
            </w:pPr>
            <w:r w:rsidDel="00000000" w:rsidR="00000000" w:rsidRPr="00000000">
              <w:rPr>
                <w:rFonts w:ascii="Avenir" w:cs="Avenir" w:eastAsia="Avenir" w:hAnsi="Avenir"/>
                <w:b w:val="1"/>
                <w:color w:val="ffffff"/>
                <w:sz w:val="24"/>
                <w:szCs w:val="24"/>
                <w:rtl w:val="0"/>
              </w:rPr>
              <w:t xml:space="preserve">LERNERGEBNISSE</w:t>
            </w:r>
          </w:p>
        </w:tc>
      </w:tr>
    </w:tbl>
    <w:p w:rsidR="00000000" w:rsidDel="00000000" w:rsidP="00000000" w:rsidRDefault="00000000" w:rsidRPr="00000000" w14:paraId="000000B8">
      <w:pPr>
        <w:spacing w:after="0" w:line="240" w:lineRule="auto"/>
        <w:rPr>
          <w:rFonts w:ascii="Avenir" w:cs="Avenir" w:eastAsia="Avenir" w:hAnsi="Avenir"/>
          <w:color w:val="366091"/>
          <w:sz w:val="28"/>
          <w:szCs w:val="28"/>
        </w:rPr>
      </w:pPr>
      <w:r w:rsidDel="00000000" w:rsidR="00000000" w:rsidRPr="00000000">
        <w:rPr>
          <w:rFonts w:ascii="Avenir" w:cs="Avenir" w:eastAsia="Avenir" w:hAnsi="Avenir"/>
          <w:color w:val="000000"/>
        </w:rPr>
        <mc:AlternateContent>
          <mc:Choice Requires="wpg">
            <w:drawing>
              <wp:inline distB="0" distT="0" distL="0" distR="0">
                <wp:extent cx="5400040" cy="5767141"/>
                <wp:effectExtent b="0" l="0" r="0" t="0"/>
                <wp:docPr id="1" name=""/>
                <a:graphic>
                  <a:graphicData uri="http://schemas.microsoft.com/office/word/2010/wordprocessingGroup">
                    <wpg:wgp>
                      <wpg:cNvGrpSpPr/>
                      <wpg:grpSpPr>
                        <a:xfrm>
                          <a:off x="2645975" y="896425"/>
                          <a:ext cx="5400040" cy="5767141"/>
                          <a:chOff x="2645975" y="896425"/>
                          <a:chExt cx="5400050" cy="5767150"/>
                        </a:xfrm>
                      </wpg:grpSpPr>
                      <wpg:grpSp>
                        <wpg:cNvGrpSpPr/>
                        <wpg:grpSpPr>
                          <a:xfrm>
                            <a:off x="2645980" y="896430"/>
                            <a:ext cx="5400040" cy="5767141"/>
                            <a:chOff x="2645975" y="2140000"/>
                            <a:chExt cx="5400050" cy="3280000"/>
                          </a:xfrm>
                        </wpg:grpSpPr>
                        <wps:wsp>
                          <wps:cNvSpPr/>
                          <wps:cNvPr id="3" name="Shape 3"/>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5" name="Shape 5"/>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7" name="Shape 7"/>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Kenntnisse</w:t>
                                    </w:r>
                                  </w:p>
                                </w:txbxContent>
                              </wps:txbx>
                              <wps:bodyPr anchorCtr="0" anchor="t" bIns="0" lIns="0" spcFirstLastPara="1" rIns="62225" wrap="square" tIns="48000">
                                <a:noAutofit/>
                              </wps:bodyPr>
                            </wps:wsp>
                            <wps:wsp>
                              <wps:cNvSpPr/>
                              <wps:cNvPr id="11" name="Shape 11"/>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Fähigkeiten</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14" name="Shape 14"/>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 name="Shape 16"/>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Verantwortung und Autonomie</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17" name="Shape 17"/>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5400040" cy="5767141"/>
                <wp:effectExtent b="0" l="0" r="0" t="0"/>
                <wp:docPr id="1" name="image2.png"/>
                <a:graphic>
                  <a:graphicData uri="http://schemas.openxmlformats.org/drawingml/2006/picture">
                    <pic:pic>
                      <pic:nvPicPr>
                        <pic:cNvPr id="0" name="image2.png"/>
                        <pic:cNvPicPr preferRelativeResize="0"/>
                      </pic:nvPicPr>
                      <pic:blipFill>
                        <a:blip r:embed="rId29"/>
                        <a:srcRect/>
                        <a:stretch>
                          <a:fillRect/>
                        </a:stretch>
                      </pic:blipFill>
                      <pic:spPr>
                        <a:xfrm>
                          <a:off x="0" y="0"/>
                          <a:ext cx="5400040" cy="5767141"/>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622300</wp:posOffset>
                </wp:positionV>
                <wp:extent cx="1376045" cy="4514617"/>
                <wp:effectExtent b="0" l="0" r="0" t="0"/>
                <wp:wrapNone/>
                <wp:docPr id="26" name=""/>
                <a:graphic>
                  <a:graphicData uri="http://schemas.microsoft.com/office/word/2010/wordprocessingShape">
                    <wps:wsp>
                      <wps:cNvSpPr/>
                      <wps:cNvPr id="118" name="Shape 118"/>
                      <wps:spPr>
                        <a:xfrm>
                          <a:off x="4662740" y="1527454"/>
                          <a:ext cx="1366520" cy="4505092"/>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t xml:space="preserve">K1. Verständnis des Konzepts der ökologischen Herausforderungen und ihrer verschiedenen Formen, einschließlich Naturkatastrophen, Klimawandel, Entwaldung, Bodendegradation und Wasserknappheit.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K2. Kenntnisse darüber zu erlangen, wie Umweltprobleme zu Vertreibung und Migration führen können, insbesondere in gefährdeten Gemeinschaften.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K3. Entwicklung eines Verständnisses für die Zusammenhänge zwischen Umweltproblemen, Migration und sozialen, wirtschaftlichen und politischen Faktoren.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622300</wp:posOffset>
                </wp:positionV>
                <wp:extent cx="1376045" cy="4514617"/>
                <wp:effectExtent b="0" l="0" r="0" t="0"/>
                <wp:wrapNone/>
                <wp:docPr id="26" name="image34.png"/>
                <a:graphic>
                  <a:graphicData uri="http://schemas.openxmlformats.org/drawingml/2006/picture">
                    <pic:pic>
                      <pic:nvPicPr>
                        <pic:cNvPr id="0" name="image34.png"/>
                        <pic:cNvPicPr preferRelativeResize="0"/>
                      </pic:nvPicPr>
                      <pic:blipFill>
                        <a:blip r:embed="rId30"/>
                        <a:srcRect/>
                        <a:stretch>
                          <a:fillRect/>
                        </a:stretch>
                      </pic:blipFill>
                      <pic:spPr>
                        <a:xfrm>
                          <a:off x="0" y="0"/>
                          <a:ext cx="1376045" cy="4514617"/>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2146300</wp:posOffset>
                </wp:positionH>
                <wp:positionV relativeFrom="paragraph">
                  <wp:posOffset>609600</wp:posOffset>
                </wp:positionV>
                <wp:extent cx="1221740" cy="4681885"/>
                <wp:effectExtent b="0" l="0" r="0" t="0"/>
                <wp:wrapNone/>
                <wp:docPr id="20" name=""/>
                <a:graphic>
                  <a:graphicData uri="http://schemas.microsoft.com/office/word/2010/wordprocessingShape">
                    <wps:wsp>
                      <wps:cNvSpPr/>
                      <wps:cNvPr id="84" name="Shape 84"/>
                      <wps:spPr>
                        <a:xfrm>
                          <a:off x="4739893" y="1443820"/>
                          <a:ext cx="1212215" cy="4672360"/>
                        </a:xfrm>
                        <a:prstGeom prst="rect">
                          <a:avLst/>
                        </a:prstGeom>
                        <a:solidFill>
                          <a:schemeClr val="lt1"/>
                        </a:solidFill>
                        <a:ln>
                          <a:noFill/>
                        </a:ln>
                      </wps:spPr>
                      <wps:txbx>
                        <w:txbxContent>
                          <w:p w:rsidR="00000000" w:rsidDel="00000000" w:rsidP="00000000" w:rsidRDefault="00000000" w:rsidRPr="00000000">
                            <w:pPr>
                              <w:spacing w:after="20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t xml:space="preserve">F1. Verbesserung der Fähigkeiten zum kritischen Denken, um die komplexe Beziehung zwischen Umweltproblemen und Migration zu analysieren.</w:t>
                            </w:r>
                          </w:p>
                          <w:p w:rsidR="00000000" w:rsidDel="00000000" w:rsidP="00000000" w:rsidRDefault="00000000" w:rsidRPr="00000000">
                            <w:pPr>
                              <w:spacing w:after="20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F2. Entwicklung von Forschungskompetenzen zur Untersuchung von Fallstudien und empirischen Belegen über die Auswirkungen von Umweltherausforderungen auf MigrantInnen.</w:t>
                            </w:r>
                          </w:p>
                          <w:p w:rsidR="00000000" w:rsidDel="00000000" w:rsidP="00000000" w:rsidRDefault="00000000" w:rsidRPr="00000000">
                            <w:pPr>
                              <w:spacing w:after="200" w:before="0" w:line="240"/>
                              <w:ind w:left="0" w:right="0" w:firstLine="0"/>
                              <w:jc w:val="left"/>
                              <w:textDirection w:val="btLr"/>
                            </w:pPr>
                            <w:r w:rsidDel="00000000" w:rsidR="00000000" w:rsidRPr="00000000">
                              <w:rPr>
                                <w:rFonts w:ascii="Avenir" w:cs="Avenir" w:eastAsia="Avenir" w:hAnsi="Avenir"/>
                                <w:b w:val="0"/>
                                <w:i w:val="0"/>
                                <w:smallCaps w:val="0"/>
                                <w:strike w:val="0"/>
                                <w:color w:val="000000"/>
                                <w:sz w:val="18"/>
                                <w:vertAlign w:val="baseline"/>
                              </w:rPr>
                            </w:r>
                            <w:r w:rsidDel="00000000" w:rsidR="00000000" w:rsidRPr="00000000">
                              <w:rPr>
                                <w:rFonts w:ascii="Avenir" w:cs="Avenir" w:eastAsia="Avenir" w:hAnsi="Avenir"/>
                                <w:b w:val="0"/>
                                <w:i w:val="0"/>
                                <w:smallCaps w:val="0"/>
                                <w:strike w:val="0"/>
                                <w:color w:val="000000"/>
                                <w:sz w:val="18"/>
                                <w:vertAlign w:val="baseline"/>
                              </w:rPr>
                              <w:t xml:space="preserve">F3. Förderung von Empathie und kultureller Sensibilität, um die Erfahrungen und Perspektiven von MigrantInnen, die von Umweltproblemen betroffen sind, zu verstehen.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2146300</wp:posOffset>
                </wp:positionH>
                <wp:positionV relativeFrom="paragraph">
                  <wp:posOffset>609600</wp:posOffset>
                </wp:positionV>
                <wp:extent cx="1221740" cy="4681885"/>
                <wp:effectExtent b="0" l="0" r="0" t="0"/>
                <wp:wrapNone/>
                <wp:docPr id="20" name="image27.png"/>
                <a:graphic>
                  <a:graphicData uri="http://schemas.openxmlformats.org/drawingml/2006/picture">
                    <pic:pic>
                      <pic:nvPicPr>
                        <pic:cNvPr id="0" name="image27.png"/>
                        <pic:cNvPicPr preferRelativeResize="0"/>
                      </pic:nvPicPr>
                      <pic:blipFill>
                        <a:blip r:embed="rId31"/>
                        <a:srcRect/>
                        <a:stretch>
                          <a:fillRect/>
                        </a:stretch>
                      </pic:blipFill>
                      <pic:spPr>
                        <a:xfrm>
                          <a:off x="0" y="0"/>
                          <a:ext cx="1221740" cy="46818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3810000</wp:posOffset>
                </wp:positionH>
                <wp:positionV relativeFrom="paragraph">
                  <wp:posOffset>622300</wp:posOffset>
                </wp:positionV>
                <wp:extent cx="1449070" cy="4079720"/>
                <wp:effectExtent b="0" l="0" r="0" t="0"/>
                <wp:wrapNone/>
                <wp:docPr id="24" name=""/>
                <a:graphic>
                  <a:graphicData uri="http://schemas.microsoft.com/office/word/2010/wordprocessingShape">
                    <wps:wsp>
                      <wps:cNvSpPr/>
                      <wps:cNvPr id="116" name="Shape 116"/>
                      <wps:spPr>
                        <a:xfrm>
                          <a:off x="4626228" y="1744903"/>
                          <a:ext cx="1439545" cy="4070195"/>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V/A1. Anerkennung der Rolle internationaler Rahmenwerke, Politiken und Organisationen beim Schutz der Rechte und des Wohlergehens von umweltvertriebenen MigrantInnen.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V/A2. Förderung der Selbstreflexion und des kritischen Bewusstseins für persönliche Handlungen und Entscheidungen, die zu ökologischen Herausforderungen beitragen und MigrantInnen betreffen</w:t>
                            </w:r>
                            <w:r w:rsidDel="00000000" w:rsidR="00000000" w:rsidRPr="00000000">
                              <w:rPr>
                                <w:rFonts w:ascii="Avenir" w:cs="Avenir" w:eastAsia="Avenir" w:hAnsi="Avenir"/>
                                <w:b w:val="0"/>
                                <w:i w:val="0"/>
                                <w:smallCaps w:val="0"/>
                                <w:strike w:val="0"/>
                                <w:color w:val="000000"/>
                                <w:sz w:val="18"/>
                                <w:vertAlign w:val="baseline"/>
                              </w:rPr>
                              <w:t xml:space="preserv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3810000</wp:posOffset>
                </wp:positionH>
                <wp:positionV relativeFrom="paragraph">
                  <wp:posOffset>622300</wp:posOffset>
                </wp:positionV>
                <wp:extent cx="1449070" cy="4079720"/>
                <wp:effectExtent b="0" l="0" r="0" t="0"/>
                <wp:wrapNone/>
                <wp:docPr id="24" name="image32.png"/>
                <a:graphic>
                  <a:graphicData uri="http://schemas.openxmlformats.org/drawingml/2006/picture">
                    <pic:pic>
                      <pic:nvPicPr>
                        <pic:cNvPr id="0" name="image32.png"/>
                        <pic:cNvPicPr preferRelativeResize="0"/>
                      </pic:nvPicPr>
                      <pic:blipFill>
                        <a:blip r:embed="rId32"/>
                        <a:srcRect/>
                        <a:stretch>
                          <a:fillRect/>
                        </a:stretch>
                      </pic:blipFill>
                      <pic:spPr>
                        <a:xfrm>
                          <a:off x="0" y="0"/>
                          <a:ext cx="1449070" cy="4079720"/>
                        </a:xfrm>
                        <a:prstGeom prst="rect"/>
                        <a:ln/>
                      </pic:spPr>
                    </pic:pic>
                  </a:graphicData>
                </a:graphic>
              </wp:anchor>
            </w:drawing>
          </mc:Fallback>
        </mc:AlternateContent>
      </w:r>
    </w:p>
    <w:p w:rsidR="00000000" w:rsidDel="00000000" w:rsidP="00000000" w:rsidRDefault="00000000" w:rsidRPr="00000000" w14:paraId="000000B9">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Ziel der Lerneinheit</w:t>
      </w:r>
    </w:p>
    <w:p w:rsidR="00000000" w:rsidDel="00000000" w:rsidP="00000000" w:rsidRDefault="00000000" w:rsidRPr="00000000" w14:paraId="000000BA">
      <w:pPr>
        <w:spacing w:after="0" w:line="240" w:lineRule="auto"/>
        <w:jc w:val="both"/>
        <w:rPr>
          <w:rFonts w:ascii="Avenir" w:cs="Avenir" w:eastAsia="Avenir" w:hAnsi="Avenir"/>
        </w:rPr>
      </w:pPr>
      <w:r w:rsidDel="00000000" w:rsidR="00000000" w:rsidRPr="00000000">
        <w:rPr>
          <w:rFonts w:ascii="Avenir" w:cs="Avenir" w:eastAsia="Avenir" w:hAnsi="Avenir"/>
          <w:rtl w:val="0"/>
        </w:rPr>
        <w:t xml:space="preserve">Ein umfassendes Verständnis der komplexen Beziehung zwischen Umweltproblemen und Migration zu entwickeln und informierte und engagierte WeltbürgerInnen zu werden, die in der Lage sind, sich mit den Bedürfnissen und Rechten von MigrantInnen auseinanderzusetzen, die von Umweltverschiebungen betroffen sind.</w:t>
      </w:r>
    </w:p>
    <w:p w:rsidR="00000000" w:rsidDel="00000000" w:rsidP="00000000" w:rsidRDefault="00000000" w:rsidRPr="00000000" w14:paraId="000000BB">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BC">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BD">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BE">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Beschreibung der Lerneinheit</w:t>
      </w:r>
    </w:p>
    <w:p w:rsidR="00000000" w:rsidDel="00000000" w:rsidP="00000000" w:rsidRDefault="00000000" w:rsidRPr="00000000" w14:paraId="000000BF">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Umweltprobleme beziehen sich auf eine Reihe von Problemen und Bedingungen im Zusammenhang mit der natürlichen Umwelt, die negative Auswirkungen auf die Ökosysteme und das menschliche Wohlbefinden haben. Zu diesen Herausforderungen gehören unter anderem Naturkatastrophen (wie Wirbelstürme, Überschwemmungen und Waldbrände), der Klimawandel und die damit verbundenen Auswirkungen (wie der Anstieg des Meeresspiegels, extreme Wetterereignisse und veränderte Niederschlagsmuster), Entwaldung, Bodendegradation, Wasserknappheit und Verschmutzung.</w:t>
      </w:r>
    </w:p>
    <w:p w:rsidR="00000000" w:rsidDel="00000000" w:rsidP="00000000" w:rsidRDefault="00000000" w:rsidRPr="00000000" w14:paraId="000000C0">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Die Auswirkungen von Umweltproblemen auf MigrantInnen sind erheblich und vielschichtig. Umweltfaktoren können zu Zwangsvertreibung und Migration beitragen, da Einzelpersonen und Gemeinschaften oft gezwungen sind, ihre Heimat zu verlassen und sicherere und nachhaltigere Lebensbedingungen zu suchen. </w:t>
      </w:r>
    </w:p>
    <w:p w:rsidR="00000000" w:rsidDel="00000000" w:rsidP="00000000" w:rsidRDefault="00000000" w:rsidRPr="00000000" w14:paraId="000000C1">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Die Bewältigung der Auswirkungen von Umweltherausforderungen auf MigrantInnen erfordert umfassende Ansätze, die Umweltschutz, Katastrophenvorsorge, Anpassung an den Klimawandel, nachhaltige Entwicklung und den Schutz der Menschenrechte umfassen. Dazu gehört auch, die Widerstandsfähigkeit der betroffenen Gemeinschaften zu stärken, Anpassungsmaßnahmen zu unterstützen und die internationale Zusammenarbeit zu fördern, um die Ursachen zu bekämpfen und den von der Umweltvertreibung Betroffenen zu helfen.</w:t>
      </w:r>
    </w:p>
    <w:p w:rsidR="00000000" w:rsidDel="00000000" w:rsidP="00000000" w:rsidRDefault="00000000" w:rsidRPr="00000000" w14:paraId="000000C2">
      <w:pPr>
        <w:spacing w:after="16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C3">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Dauer</w:t>
      </w:r>
    </w:p>
    <w:tbl>
      <w:tblPr>
        <w:tblStyle w:val="Table10"/>
        <w:tblW w:w="8105.0"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34"/>
        <w:gridCol w:w="1809"/>
        <w:gridCol w:w="1476"/>
        <w:tblGridChange w:id="0">
          <w:tblGrid>
            <w:gridCol w:w="1526"/>
            <w:gridCol w:w="1701"/>
            <w:gridCol w:w="1559"/>
            <w:gridCol w:w="34"/>
            <w:gridCol w:w="1809"/>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C4">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Kontakt-Stunden</w:t>
            </w:r>
          </w:p>
        </w:tc>
        <w:tc>
          <w:tcPr>
            <w:shd w:fill="auto" w:val="clear"/>
            <w:vAlign w:val="center"/>
          </w:tcPr>
          <w:p w:rsidR="00000000" w:rsidDel="00000000" w:rsidP="00000000" w:rsidRDefault="00000000" w:rsidRPr="00000000" w14:paraId="000000C5">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Praktische Stunden</w:t>
            </w:r>
          </w:p>
        </w:tc>
        <w:tc>
          <w:tcPr>
            <w:gridSpan w:val="2"/>
            <w:shd w:fill="auto" w:val="clear"/>
            <w:vAlign w:val="center"/>
          </w:tcPr>
          <w:p w:rsidR="00000000" w:rsidDel="00000000" w:rsidP="00000000" w:rsidRDefault="00000000" w:rsidRPr="00000000" w14:paraId="000000C6">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Selbstlernstunden</w:t>
            </w:r>
          </w:p>
        </w:tc>
        <w:tc>
          <w:tcPr>
            <w:shd w:fill="auto" w:val="clear"/>
            <w:vAlign w:val="center"/>
          </w:tcPr>
          <w:p w:rsidR="00000000" w:rsidDel="00000000" w:rsidP="00000000" w:rsidRDefault="00000000" w:rsidRPr="00000000" w14:paraId="000000C8">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Bewertungsstunden</w:t>
            </w:r>
          </w:p>
        </w:tc>
        <w:tc>
          <w:tcPr>
            <w:shd w:fill="auto" w:val="clear"/>
            <w:vAlign w:val="center"/>
          </w:tcPr>
          <w:p w:rsidR="00000000" w:rsidDel="00000000" w:rsidP="00000000" w:rsidRDefault="00000000" w:rsidRPr="00000000" w14:paraId="000000C9">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GESAMT</w:t>
            </w:r>
          </w:p>
        </w:tc>
      </w:tr>
      <w:tr>
        <w:trPr>
          <w:cantSplit w:val="0"/>
          <w:trHeight w:val="247" w:hRule="atLeast"/>
          <w:tblHeader w:val="0"/>
        </w:trPr>
        <w:tc>
          <w:tcPr>
            <w:vAlign w:val="center"/>
          </w:tcPr>
          <w:p w:rsidR="00000000" w:rsidDel="00000000" w:rsidP="00000000" w:rsidRDefault="00000000" w:rsidRPr="00000000" w14:paraId="000000CA">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0CB">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0CC">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gridSpan w:val="2"/>
            <w:vAlign w:val="center"/>
          </w:tcPr>
          <w:p w:rsidR="00000000" w:rsidDel="00000000" w:rsidP="00000000" w:rsidRDefault="00000000" w:rsidRPr="00000000" w14:paraId="000000CD">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0CF">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0D0">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D1">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Bibliographie</w:t>
      </w:r>
    </w:p>
    <w:p w:rsidR="00000000" w:rsidDel="00000000" w:rsidP="00000000" w:rsidRDefault="00000000" w:rsidRPr="00000000" w14:paraId="000000D2">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Black, R., Bennett, S. R., Thomas, S. M., &amp; Beddington, J. R. (2011). Climate change: Migration as adaptation. Nature, 478(7370), 447-449.</w:t>
      </w:r>
    </w:p>
    <w:p w:rsidR="00000000" w:rsidDel="00000000" w:rsidP="00000000" w:rsidRDefault="00000000" w:rsidRPr="00000000" w14:paraId="000000D3">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McLeman, R., &amp; Hunter, L. M. (2010). Migration in the context of vulnerability and adaptation to climate change: Insights from analogues. Wiley Interdisciplinary Reviews: Climate Change, 1(3), 450-461.</w:t>
      </w:r>
    </w:p>
    <w:p w:rsidR="00000000" w:rsidDel="00000000" w:rsidP="00000000" w:rsidRDefault="00000000" w:rsidRPr="00000000" w14:paraId="000000D4">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Adger, W. N., &amp; Barnett, J. (2009). Four reasons for concern about adaptation to climate change. Environment and Planning A, 41(12), 2800-2805.</w:t>
      </w:r>
    </w:p>
    <w:p w:rsidR="00000000" w:rsidDel="00000000" w:rsidP="00000000" w:rsidRDefault="00000000" w:rsidRPr="00000000" w14:paraId="000000D5">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Warner, K., Ehrhart, C., de Sherbinin, A., &amp; Adamo, S. (2009). In search of shelter: Mapping the effects of climate change on human migration and displacement. United Nations University Press.</w:t>
      </w:r>
    </w:p>
    <w:p w:rsidR="00000000" w:rsidDel="00000000" w:rsidP="00000000" w:rsidRDefault="00000000" w:rsidRPr="00000000" w14:paraId="000000D6">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McLeman, R., &amp; Gemenne, F. (2018). Climate change, migration, and the politics of adaptation. Oxford Research Encyclopedia of Climate Science.</w:t>
      </w:r>
    </w:p>
    <w:p w:rsidR="00000000" w:rsidDel="00000000" w:rsidP="00000000" w:rsidRDefault="00000000" w:rsidRPr="00000000" w14:paraId="000000D7">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Martin, S. F. (2017). Environmental migration and social inequality. WIREs Climate Change, 8(5), e471.</w:t>
      </w:r>
    </w:p>
    <w:p w:rsidR="00000000" w:rsidDel="00000000" w:rsidP="00000000" w:rsidRDefault="00000000" w:rsidRPr="00000000" w14:paraId="000000D8">
      <w:pPr>
        <w:rPr/>
      </w:pPr>
      <w:r w:rsidDel="00000000" w:rsidR="00000000" w:rsidRPr="00000000">
        <w:br w:type="page"/>
      </w:r>
      <w:r w:rsidDel="00000000" w:rsidR="00000000" w:rsidRPr="00000000">
        <w:rPr>
          <w:rtl w:val="0"/>
        </w:rPr>
      </w:r>
    </w:p>
    <w:tbl>
      <w:tblPr>
        <w:tblStyle w:val="Table11"/>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D9">
            <w:pPr>
              <w:pStyle w:val="Heading2"/>
              <w:spacing w:after="60" w:before="60" w:lineRule="auto"/>
              <w:rPr>
                <w:rFonts w:ascii="Verdana" w:cs="Verdana" w:eastAsia="Verdana" w:hAnsi="Verdana"/>
                <w:b w:val="1"/>
                <w:color w:val="ffffff"/>
                <w:sz w:val="40"/>
                <w:szCs w:val="40"/>
              </w:rPr>
            </w:pPr>
            <w:bookmarkStart w:colFirst="0" w:colLast="0" w:name="_heading=h.1t3h5sf" w:id="7"/>
            <w:bookmarkEnd w:id="7"/>
            <w:r w:rsidDel="00000000" w:rsidR="00000000" w:rsidRPr="00000000">
              <w:rPr>
                <w:rFonts w:ascii="Verdana" w:cs="Verdana" w:eastAsia="Verdana" w:hAnsi="Verdana"/>
                <w:b w:val="1"/>
                <w:color w:val="ffffff"/>
                <w:sz w:val="40"/>
                <w:szCs w:val="40"/>
                <w:rtl w:val="0"/>
              </w:rPr>
              <w:t xml:space="preserve">Einheit  4: Grüne Jobs und Unternehmertum</w:t>
            </w:r>
          </w:p>
        </w:tc>
      </w:tr>
    </w:tbl>
    <w:p w:rsidR="00000000" w:rsidDel="00000000" w:rsidP="00000000" w:rsidRDefault="00000000" w:rsidRPr="00000000" w14:paraId="000000DA">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0DB">
      <w:pPr>
        <w:spacing w:after="0" w:line="240" w:lineRule="auto"/>
        <w:jc w:val="both"/>
        <w:rPr>
          <w:rFonts w:ascii="Avenir" w:cs="Avenir" w:eastAsia="Avenir" w:hAnsi="Avenir"/>
          <w:sz w:val="24"/>
          <w:szCs w:val="24"/>
        </w:rPr>
      </w:pPr>
      <w:r w:rsidDel="00000000" w:rsidR="00000000" w:rsidRPr="00000000">
        <w:rPr>
          <w:rtl w:val="0"/>
        </w:rPr>
      </w:r>
    </w:p>
    <w:tbl>
      <w:tblPr>
        <w:tblStyle w:val="Table12"/>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DC">
            <w:pPr>
              <w:jc w:val="center"/>
              <w:rPr>
                <w:rFonts w:ascii="Avenir" w:cs="Avenir" w:eastAsia="Avenir" w:hAnsi="Avenir"/>
                <w:b w:val="1"/>
                <w:color w:val="ffffff"/>
                <w:sz w:val="24"/>
                <w:szCs w:val="24"/>
              </w:rPr>
            </w:pPr>
            <w:r w:rsidDel="00000000" w:rsidR="00000000" w:rsidRPr="00000000">
              <w:rPr>
                <w:rFonts w:ascii="Avenir" w:cs="Avenir" w:eastAsia="Avenir" w:hAnsi="Avenir"/>
                <w:b w:val="1"/>
                <w:color w:val="ffffff"/>
                <w:sz w:val="24"/>
                <w:szCs w:val="24"/>
                <w:rtl w:val="0"/>
              </w:rPr>
              <w:t xml:space="preserve">LERNERGEBNISSE</w:t>
            </w:r>
          </w:p>
        </w:tc>
      </w:tr>
    </w:tbl>
    <w:p w:rsidR="00000000" w:rsidDel="00000000" w:rsidP="00000000" w:rsidRDefault="00000000" w:rsidRPr="00000000" w14:paraId="000000DD">
      <w:pPr>
        <w:pBdr>
          <w:top w:space="0" w:sz="0" w:val="nil"/>
          <w:left w:space="0" w:sz="0" w:val="nil"/>
          <w:bottom w:space="0" w:sz="0" w:val="nil"/>
          <w:right w:space="0" w:sz="0" w:val="nil"/>
          <w:between w:space="0" w:sz="0" w:val="nil"/>
        </w:pBdr>
        <w:spacing w:after="0" w:line="240" w:lineRule="auto"/>
        <w:rPr>
          <w:rFonts w:ascii="Avenir" w:cs="Avenir" w:eastAsia="Avenir" w:hAnsi="Avenir"/>
        </w:rPr>
      </w:pPr>
      <w:r w:rsidDel="00000000" w:rsidR="00000000" w:rsidRPr="00000000">
        <w:rPr>
          <w:rFonts w:ascii="Avenir" w:cs="Avenir" w:eastAsia="Avenir" w:hAnsi="Avenir"/>
          <w:color w:val="000000"/>
        </w:rPr>
        <mc:AlternateContent>
          <mc:Choice Requires="wpg">
            <w:drawing>
              <wp:inline distB="0" distT="0" distL="0" distR="0">
                <wp:extent cx="5334000" cy="4572000"/>
                <wp:effectExtent b="0" l="0" r="0" t="0"/>
                <wp:docPr id="14" name=""/>
                <a:graphic>
                  <a:graphicData uri="http://schemas.microsoft.com/office/word/2010/wordprocessingGroup">
                    <wpg:wgp>
                      <wpg:cNvGrpSpPr/>
                      <wpg:grpSpPr>
                        <a:xfrm>
                          <a:off x="2678925" y="1494000"/>
                          <a:ext cx="5334000" cy="4572000"/>
                          <a:chOff x="2678925" y="1494000"/>
                          <a:chExt cx="5334075" cy="4572000"/>
                        </a:xfrm>
                      </wpg:grpSpPr>
                      <wpg:grpSp>
                        <wpg:cNvGrpSpPr/>
                        <wpg:grpSpPr>
                          <a:xfrm>
                            <a:off x="2679000" y="1494000"/>
                            <a:ext cx="5334000" cy="4572000"/>
                            <a:chOff x="2645975" y="2140000"/>
                            <a:chExt cx="5400050" cy="3280000"/>
                          </a:xfrm>
                        </wpg:grpSpPr>
                        <wps:wsp>
                          <wps:cNvSpPr/>
                          <wps:cNvPr id="3" name="Shape 3"/>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32" name="Shape 32"/>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34" name="Shape 34"/>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5" name="Shape 35"/>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6" name="Shape 36"/>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7" name="Shape 37"/>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Kenntnisse</w:t>
                                    </w:r>
                                  </w:p>
                                </w:txbxContent>
                              </wps:txbx>
                              <wps:bodyPr anchorCtr="0" anchor="t" bIns="0" lIns="0" spcFirstLastPara="1" rIns="62225" wrap="square" tIns="48000">
                                <a:noAutofit/>
                              </wps:bodyPr>
                            </wps:wsp>
                            <wps:wsp>
                              <wps:cNvSpPr/>
                              <wps:cNvPr id="38" name="Shape 38"/>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9" name="Shape 39"/>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0" name="Shape 40"/>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Fähigkeiten</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41" name="Shape 41"/>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2" name="Shape 42"/>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3" name="Shape 43"/>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Verantwortung und Autonomie</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44" name="Shape 44"/>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5334000" cy="4572000"/>
                <wp:effectExtent b="0" l="0" r="0" t="0"/>
                <wp:docPr id="14" name="image16.png"/>
                <a:graphic>
                  <a:graphicData uri="http://schemas.openxmlformats.org/drawingml/2006/picture">
                    <pic:pic>
                      <pic:nvPicPr>
                        <pic:cNvPr id="0" name="image16.png"/>
                        <pic:cNvPicPr preferRelativeResize="0"/>
                      </pic:nvPicPr>
                      <pic:blipFill>
                        <a:blip r:embed="rId33"/>
                        <a:srcRect/>
                        <a:stretch>
                          <a:fillRect/>
                        </a:stretch>
                      </pic:blipFill>
                      <pic:spPr>
                        <a:xfrm>
                          <a:off x="0" y="0"/>
                          <a:ext cx="5334000" cy="4572000"/>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368300</wp:posOffset>
                </wp:positionV>
                <wp:extent cx="1339850" cy="3545205"/>
                <wp:effectExtent b="0" l="0" r="0" t="0"/>
                <wp:wrapNone/>
                <wp:docPr id="7" name=""/>
                <a:graphic>
                  <a:graphicData uri="http://schemas.microsoft.com/office/word/2010/wordprocessingShape">
                    <wps:wsp>
                      <wps:cNvSpPr/>
                      <wps:cNvPr id="23" name="Shape 23"/>
                      <wps:spPr>
                        <a:xfrm>
                          <a:off x="4680838" y="2012160"/>
                          <a:ext cx="1330325" cy="3535680"/>
                        </a:xfrm>
                        <a:prstGeom prst="rect">
                          <a:avLst/>
                        </a:prstGeom>
                        <a:solidFill>
                          <a:schemeClr val="lt1"/>
                        </a:solidFill>
                        <a:ln>
                          <a:noFill/>
                        </a:ln>
                      </wps:spPr>
                      <wps:txbx>
                        <w:txbxContent>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K1. Verständnis für grüne Jobs, grünes Unternehmertum, Kreislaufwirtschaft und ökologische Nachhaltigkeit</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K2. Die komparativen Vorteile des grünen Unternehmertums zu verstehen.</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K3. Verstehen, wie grünes Unternehmertum zur sozialen und wirtschaftlichen Integration von MigrantInnen beitragen kann.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368300</wp:posOffset>
                </wp:positionV>
                <wp:extent cx="1339850" cy="3545205"/>
                <wp:effectExtent b="0" l="0" r="0" t="0"/>
                <wp:wrapNone/>
                <wp:docPr id="7" name="image9.png"/>
                <a:graphic>
                  <a:graphicData uri="http://schemas.openxmlformats.org/drawingml/2006/picture">
                    <pic:pic>
                      <pic:nvPicPr>
                        <pic:cNvPr id="0" name="image9.png"/>
                        <pic:cNvPicPr preferRelativeResize="0"/>
                      </pic:nvPicPr>
                      <pic:blipFill>
                        <a:blip r:embed="rId34"/>
                        <a:srcRect/>
                        <a:stretch>
                          <a:fillRect/>
                        </a:stretch>
                      </pic:blipFill>
                      <pic:spPr>
                        <a:xfrm>
                          <a:off x="0" y="0"/>
                          <a:ext cx="1339850" cy="35452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2082800</wp:posOffset>
                </wp:positionH>
                <wp:positionV relativeFrom="paragraph">
                  <wp:posOffset>368300</wp:posOffset>
                </wp:positionV>
                <wp:extent cx="1231265" cy="4360545"/>
                <wp:effectExtent b="0" l="0" r="0" t="0"/>
                <wp:wrapNone/>
                <wp:docPr id="18" name=""/>
                <a:graphic>
                  <a:graphicData uri="http://schemas.microsoft.com/office/word/2010/wordprocessingShape">
                    <wps:wsp>
                      <wps:cNvSpPr/>
                      <wps:cNvPr id="68" name="Shape 68"/>
                      <wps:spPr>
                        <a:xfrm>
                          <a:off x="4735130" y="1604490"/>
                          <a:ext cx="1221740" cy="4351020"/>
                        </a:xfrm>
                        <a:prstGeom prst="rect">
                          <a:avLst/>
                        </a:prstGeom>
                        <a:solidFill>
                          <a:schemeClr val="lt1"/>
                        </a:solidFill>
                        <a:ln>
                          <a:noFill/>
                        </a:ln>
                      </wps:spPr>
                      <wps:txbx>
                        <w:txbxContent>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F1. Rechtfertigung der globalen Notwendigkeit, auf grünes Unternehmertum umzustellen</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F2. Verwendung zuverlässiger Quellen zur Erläuterung der realen Möglichkeiten für grünes Unternehmertum in Nord und Süd.</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F3. Beispiele für bewährte Praktiken in den Bereichen Abfallwirtschaft und Recycling, nachhaltiger Transport und Projekte für erneuerbare Energien nennen.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2082800</wp:posOffset>
                </wp:positionH>
                <wp:positionV relativeFrom="paragraph">
                  <wp:posOffset>368300</wp:posOffset>
                </wp:positionV>
                <wp:extent cx="1231265" cy="4360545"/>
                <wp:effectExtent b="0" l="0" r="0" t="0"/>
                <wp:wrapNone/>
                <wp:docPr id="18" name="image24.png"/>
                <a:graphic>
                  <a:graphicData uri="http://schemas.openxmlformats.org/drawingml/2006/picture">
                    <pic:pic>
                      <pic:nvPicPr>
                        <pic:cNvPr id="0" name="image24.png"/>
                        <pic:cNvPicPr preferRelativeResize="0"/>
                      </pic:nvPicPr>
                      <pic:blipFill>
                        <a:blip r:embed="rId35"/>
                        <a:srcRect/>
                        <a:stretch>
                          <a:fillRect/>
                        </a:stretch>
                      </pic:blipFill>
                      <pic:spPr>
                        <a:xfrm>
                          <a:off x="0" y="0"/>
                          <a:ext cx="1231265" cy="43605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3835400</wp:posOffset>
                </wp:positionH>
                <wp:positionV relativeFrom="paragraph">
                  <wp:posOffset>368300</wp:posOffset>
                </wp:positionV>
                <wp:extent cx="1369695" cy="3811905"/>
                <wp:effectExtent b="0" l="0" r="0" t="0"/>
                <wp:wrapNone/>
                <wp:docPr id="4" name=""/>
                <a:graphic>
                  <a:graphicData uri="http://schemas.microsoft.com/office/word/2010/wordprocessingShape">
                    <wps:wsp>
                      <wps:cNvSpPr/>
                      <wps:cNvPr id="20" name="Shape 20"/>
                      <wps:spPr>
                        <a:xfrm>
                          <a:off x="4665915" y="1878810"/>
                          <a:ext cx="1360170" cy="3802380"/>
                        </a:xfrm>
                        <a:prstGeom prst="rect">
                          <a:avLst/>
                        </a:prstGeom>
                        <a:solidFill>
                          <a:schemeClr val="lt1"/>
                        </a:solidFill>
                        <a:ln>
                          <a:noFill/>
                        </a:ln>
                      </wps:spPr>
                      <wps:txbx>
                        <w:txbxContent>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V/A1. Kritische Würdigung innovativer umweltfreundlicher Produkte und Dienstleistungen</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V/A2. Einige Strategien zur Förderung des grünen Unternehmertums auf Makroebene vorschlagen (PESTEL)</w:t>
                            </w:r>
                          </w:p>
                          <w:p w:rsidR="00000000" w:rsidDel="00000000" w:rsidP="00000000" w:rsidRDefault="00000000" w:rsidRPr="00000000">
                            <w:pPr>
                              <w:spacing w:after="240" w:before="24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V/A3. Theoretisches Wissen zu mobilisieren, um eine eigene Projektidee für eine grüne/kreislauforientierte Wirtschaft zu formulieren.</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ff0000"/>
                                <w:sz w:val="22"/>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3835400</wp:posOffset>
                </wp:positionH>
                <wp:positionV relativeFrom="paragraph">
                  <wp:posOffset>368300</wp:posOffset>
                </wp:positionV>
                <wp:extent cx="1369695" cy="3811905"/>
                <wp:effectExtent b="0" l="0" r="0" t="0"/>
                <wp:wrapNone/>
                <wp:docPr id="4" name="image6.png"/>
                <a:graphic>
                  <a:graphicData uri="http://schemas.openxmlformats.org/drawingml/2006/picture">
                    <pic:pic>
                      <pic:nvPicPr>
                        <pic:cNvPr id="0" name="image6.png"/>
                        <pic:cNvPicPr preferRelativeResize="0"/>
                      </pic:nvPicPr>
                      <pic:blipFill>
                        <a:blip r:embed="rId36"/>
                        <a:srcRect/>
                        <a:stretch>
                          <a:fillRect/>
                        </a:stretch>
                      </pic:blipFill>
                      <pic:spPr>
                        <a:xfrm>
                          <a:off x="0" y="0"/>
                          <a:ext cx="1369695" cy="3811905"/>
                        </a:xfrm>
                        <a:prstGeom prst="rect"/>
                        <a:ln/>
                      </pic:spPr>
                    </pic:pic>
                  </a:graphicData>
                </a:graphic>
              </wp:anchor>
            </w:drawing>
          </mc:Fallback>
        </mc:AlternateContent>
      </w:r>
    </w:p>
    <w:p w:rsidR="00000000" w:rsidDel="00000000" w:rsidP="00000000" w:rsidRDefault="00000000" w:rsidRPr="00000000" w14:paraId="000000DE">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Ziel der Lerneinheit</w:t>
      </w:r>
    </w:p>
    <w:p w:rsidR="00000000" w:rsidDel="00000000" w:rsidP="00000000" w:rsidRDefault="00000000" w:rsidRPr="00000000" w14:paraId="000000DF">
      <w:pPr>
        <w:spacing w:after="160" w:before="240" w:line="240" w:lineRule="auto"/>
        <w:jc w:val="both"/>
        <w:rPr>
          <w:rFonts w:ascii="Avenir" w:cs="Avenir" w:eastAsia="Avenir" w:hAnsi="Avenir"/>
        </w:rPr>
      </w:pPr>
      <w:r w:rsidDel="00000000" w:rsidR="00000000" w:rsidRPr="00000000">
        <w:rPr>
          <w:rFonts w:ascii="Avenir" w:cs="Avenir" w:eastAsia="Avenir" w:hAnsi="Avenir"/>
          <w:rtl w:val="0"/>
        </w:rPr>
        <w:t xml:space="preserve">Diese Lerneinheit soll den MigrantInnen helfen, grüne Jobs und grünes Unternehmertum zu verstehen und sie in die Lage versetzen, sich nicht nur in diesem innovativen, profitablen und sicheren Wirtschaftsmodell zu engagieren, sondern auch andere potenzielle grüne UnternehmerInnen in ihren verschiedenen Gemeinschaften zu inspirieren.</w:t>
      </w:r>
    </w:p>
    <w:p w:rsidR="00000000" w:rsidDel="00000000" w:rsidP="00000000" w:rsidRDefault="00000000" w:rsidRPr="00000000" w14:paraId="000000E0">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0E1">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Beschreibung der Lerneinheit</w:t>
      </w:r>
    </w:p>
    <w:p w:rsidR="00000000" w:rsidDel="00000000" w:rsidP="00000000" w:rsidRDefault="00000000" w:rsidRPr="00000000" w14:paraId="000000E2">
      <w:pPr>
        <w:spacing w:after="240" w:before="240" w:line="240" w:lineRule="auto"/>
        <w:jc w:val="both"/>
        <w:rPr>
          <w:rFonts w:ascii="Avenir" w:cs="Avenir" w:eastAsia="Avenir" w:hAnsi="Avenir"/>
        </w:rPr>
      </w:pPr>
      <w:r w:rsidDel="00000000" w:rsidR="00000000" w:rsidRPr="00000000">
        <w:rPr>
          <w:rFonts w:ascii="Avenir" w:cs="Avenir" w:eastAsia="Avenir" w:hAnsi="Avenir"/>
          <w:rtl w:val="0"/>
        </w:rPr>
        <w:t xml:space="preserve">Die Europäische Kommission hat darauf hingewiesen, dass wir zunehmend mit den Folgen des Klimawandels und der Erschöpfung der Ressourcen konfrontiert sind. Sie ermutigt daher zu mehr Investitionen in "grüne" Unternehmen und Produkte. In ihrem ersten Aktionsplan für nachhaltige Finanzen (Sustainable Finance Action Plan, SFAP) vom März 2018 stellt die Kommission fest, dass der Finanzsektor als Vermittler zwischen Kapitalnutzern und Kapitalgebern eine Schlüsselrolle bei diesem grünen Wandel spielt.</w:t>
      </w:r>
    </w:p>
    <w:p w:rsidR="00000000" w:rsidDel="00000000" w:rsidP="00000000" w:rsidRDefault="00000000" w:rsidRPr="00000000" w14:paraId="000000E3">
      <w:pPr>
        <w:spacing w:after="240" w:before="240" w:line="240" w:lineRule="auto"/>
        <w:jc w:val="both"/>
        <w:rPr>
          <w:rFonts w:ascii="Avenir" w:cs="Avenir" w:eastAsia="Avenir" w:hAnsi="Avenir"/>
        </w:rPr>
      </w:pPr>
      <w:r w:rsidDel="00000000" w:rsidR="00000000" w:rsidRPr="00000000">
        <w:rPr>
          <w:rFonts w:ascii="Avenir" w:cs="Avenir" w:eastAsia="Avenir" w:hAnsi="Avenir"/>
          <w:rtl w:val="0"/>
        </w:rPr>
        <w:t xml:space="preserve">Im Einklang mit der Vision der Kommission und der Agenda der Ziele für nachhaltige Entwicklung (SDGs) erleben wir heute das Aufkommen von grünem Unternehmertum in Industrie- und Entwicklungsländern. Das liegt daran, dass grünes Unternehmertum und Innovation eine klare, positive Auswirkung auf die ökologische und finanzielle Leistung florierender Unternehmen haben.</w:t>
      </w:r>
    </w:p>
    <w:p w:rsidR="00000000" w:rsidDel="00000000" w:rsidP="00000000" w:rsidRDefault="00000000" w:rsidRPr="00000000" w14:paraId="000000E4">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0E5">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Dauer</w:t>
      </w:r>
    </w:p>
    <w:tbl>
      <w:tblPr>
        <w:tblStyle w:val="Table13"/>
        <w:tblW w:w="8105.0"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34"/>
        <w:gridCol w:w="1809"/>
        <w:gridCol w:w="1476"/>
        <w:tblGridChange w:id="0">
          <w:tblGrid>
            <w:gridCol w:w="1526"/>
            <w:gridCol w:w="1701"/>
            <w:gridCol w:w="1559"/>
            <w:gridCol w:w="34"/>
            <w:gridCol w:w="1809"/>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0E6">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Kontakt-Stunden</w:t>
            </w:r>
          </w:p>
        </w:tc>
        <w:tc>
          <w:tcPr>
            <w:shd w:fill="auto" w:val="clear"/>
            <w:vAlign w:val="center"/>
          </w:tcPr>
          <w:p w:rsidR="00000000" w:rsidDel="00000000" w:rsidP="00000000" w:rsidRDefault="00000000" w:rsidRPr="00000000" w14:paraId="000000E7">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Praktische Stunden</w:t>
            </w:r>
          </w:p>
        </w:tc>
        <w:tc>
          <w:tcPr>
            <w:gridSpan w:val="2"/>
            <w:shd w:fill="auto" w:val="clear"/>
            <w:vAlign w:val="center"/>
          </w:tcPr>
          <w:p w:rsidR="00000000" w:rsidDel="00000000" w:rsidP="00000000" w:rsidRDefault="00000000" w:rsidRPr="00000000" w14:paraId="000000E8">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Selbstlernstunden</w:t>
            </w:r>
          </w:p>
        </w:tc>
        <w:tc>
          <w:tcPr>
            <w:shd w:fill="auto" w:val="clear"/>
            <w:vAlign w:val="center"/>
          </w:tcPr>
          <w:p w:rsidR="00000000" w:rsidDel="00000000" w:rsidP="00000000" w:rsidRDefault="00000000" w:rsidRPr="00000000" w14:paraId="000000EA">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Bewertungsstunden</w:t>
            </w:r>
          </w:p>
        </w:tc>
        <w:tc>
          <w:tcPr>
            <w:shd w:fill="auto" w:val="clear"/>
            <w:vAlign w:val="center"/>
          </w:tcPr>
          <w:p w:rsidR="00000000" w:rsidDel="00000000" w:rsidP="00000000" w:rsidRDefault="00000000" w:rsidRPr="00000000" w14:paraId="000000EB">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GESAMT</w:t>
            </w:r>
          </w:p>
        </w:tc>
      </w:tr>
      <w:tr>
        <w:trPr>
          <w:cantSplit w:val="0"/>
          <w:trHeight w:val="247" w:hRule="atLeast"/>
          <w:tblHeader w:val="0"/>
        </w:trPr>
        <w:tc>
          <w:tcPr>
            <w:vAlign w:val="center"/>
          </w:tcPr>
          <w:p w:rsidR="00000000" w:rsidDel="00000000" w:rsidP="00000000" w:rsidRDefault="00000000" w:rsidRPr="00000000" w14:paraId="000000EC">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0ED">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0EE">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gridSpan w:val="2"/>
            <w:vAlign w:val="center"/>
          </w:tcPr>
          <w:p w:rsidR="00000000" w:rsidDel="00000000" w:rsidP="00000000" w:rsidRDefault="00000000" w:rsidRPr="00000000" w14:paraId="000000EF">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0F1">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0F2">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F3">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0F4">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Bibliographie</w:t>
      </w:r>
    </w:p>
    <w:p w:rsidR="00000000" w:rsidDel="00000000" w:rsidP="00000000" w:rsidRDefault="00000000" w:rsidRPr="00000000" w14:paraId="000000F5">
      <w:pPr>
        <w:spacing w:after="120" w:before="240" w:lineRule="auto"/>
        <w:jc w:val="both"/>
        <w:rPr>
          <w:rFonts w:ascii="Arial" w:cs="Arial" w:eastAsia="Arial" w:hAnsi="Arial"/>
          <w:color w:val="1155cc"/>
          <w:sz w:val="20"/>
          <w:szCs w:val="20"/>
          <w:highlight w:val="white"/>
        </w:rPr>
      </w:pPr>
      <w:r w:rsidDel="00000000" w:rsidR="00000000" w:rsidRPr="00000000">
        <w:rPr>
          <w:rFonts w:ascii="Arial" w:cs="Arial" w:eastAsia="Arial" w:hAnsi="Arial"/>
          <w:color w:val="323232"/>
          <w:sz w:val="20"/>
          <w:szCs w:val="20"/>
          <w:highlight w:val="white"/>
          <w:rtl w:val="0"/>
        </w:rPr>
        <w:t xml:space="preserve">Busch, D. (2021). Will Europe Set the Sustainability Standard Worldwide ? </w:t>
      </w:r>
      <w:r w:rsidDel="00000000" w:rsidR="00000000" w:rsidRPr="00000000">
        <w:rPr>
          <w:rFonts w:ascii="Arial" w:cs="Arial" w:eastAsia="Arial" w:hAnsi="Arial"/>
          <w:i w:val="1"/>
          <w:color w:val="323232"/>
          <w:sz w:val="20"/>
          <w:szCs w:val="20"/>
          <w:highlight w:val="white"/>
          <w:rtl w:val="0"/>
        </w:rPr>
        <w:t xml:space="preserve">RED</w:t>
      </w:r>
      <w:r w:rsidDel="00000000" w:rsidR="00000000" w:rsidRPr="00000000">
        <w:rPr>
          <w:rFonts w:ascii="Arial" w:cs="Arial" w:eastAsia="Arial" w:hAnsi="Arial"/>
          <w:color w:val="323232"/>
          <w:sz w:val="20"/>
          <w:szCs w:val="20"/>
          <w:highlight w:val="white"/>
          <w:rtl w:val="0"/>
        </w:rPr>
        <w:t xml:space="preserve">, 3, 151-155. </w:t>
      </w:r>
      <w:hyperlink r:id="rId37">
        <w:r w:rsidDel="00000000" w:rsidR="00000000" w:rsidRPr="00000000">
          <w:rPr>
            <w:rFonts w:ascii="Arial" w:cs="Arial" w:eastAsia="Arial" w:hAnsi="Arial"/>
            <w:color w:val="1155cc"/>
            <w:sz w:val="20"/>
            <w:szCs w:val="20"/>
            <w:highlight w:val="white"/>
            <w:rtl w:val="0"/>
          </w:rPr>
          <w:t xml:space="preserve">https://doi.org/10.3917/red.003.0151</w:t>
        </w:r>
      </w:hyperlink>
      <w:r w:rsidDel="00000000" w:rsidR="00000000" w:rsidRPr="00000000">
        <w:rPr>
          <w:rtl w:val="0"/>
        </w:rPr>
      </w:r>
    </w:p>
    <w:p w:rsidR="00000000" w:rsidDel="00000000" w:rsidP="00000000" w:rsidRDefault="00000000" w:rsidRPr="00000000" w14:paraId="000000F6">
      <w:pPr>
        <w:spacing w:after="240" w:before="240" w:lineRule="auto"/>
        <w:jc w:val="both"/>
        <w:rPr>
          <w:rFonts w:ascii="Arial" w:cs="Arial" w:eastAsia="Arial" w:hAnsi="Arial"/>
          <w:color w:val="1155cc"/>
          <w:sz w:val="20"/>
          <w:szCs w:val="20"/>
          <w:highlight w:val="white"/>
        </w:rPr>
      </w:pPr>
      <w:r w:rsidDel="00000000" w:rsidR="00000000" w:rsidRPr="00000000">
        <w:rPr>
          <w:rFonts w:ascii="Arial" w:cs="Arial" w:eastAsia="Arial" w:hAnsi="Arial"/>
          <w:color w:val="323232"/>
          <w:sz w:val="20"/>
          <w:szCs w:val="20"/>
          <w:highlight w:val="white"/>
          <w:rtl w:val="0"/>
        </w:rPr>
        <w:t xml:space="preserve">Bourdin, S., Chenane, A. &amp; Mohand Said, A. (2023). Motivations et difficultés des éco-entrepreneurs en Algérie : le rôle des dispositifs publics d’accompagnement. </w:t>
      </w:r>
      <w:r w:rsidDel="00000000" w:rsidR="00000000" w:rsidRPr="00000000">
        <w:rPr>
          <w:rFonts w:ascii="Arial" w:cs="Arial" w:eastAsia="Arial" w:hAnsi="Arial"/>
          <w:i w:val="1"/>
          <w:color w:val="323232"/>
          <w:sz w:val="20"/>
          <w:szCs w:val="20"/>
          <w:highlight w:val="white"/>
          <w:rtl w:val="0"/>
        </w:rPr>
        <w:t xml:space="preserve">Innovations</w:t>
      </w:r>
      <w:r w:rsidDel="00000000" w:rsidR="00000000" w:rsidRPr="00000000">
        <w:rPr>
          <w:rFonts w:ascii="Arial" w:cs="Arial" w:eastAsia="Arial" w:hAnsi="Arial"/>
          <w:color w:val="323232"/>
          <w:sz w:val="20"/>
          <w:szCs w:val="20"/>
          <w:highlight w:val="white"/>
          <w:rtl w:val="0"/>
        </w:rPr>
        <w:t xml:space="preserve">, 70, 209-239. </w:t>
      </w:r>
      <w:hyperlink r:id="rId38">
        <w:r w:rsidDel="00000000" w:rsidR="00000000" w:rsidRPr="00000000">
          <w:rPr>
            <w:rFonts w:ascii="Arial" w:cs="Arial" w:eastAsia="Arial" w:hAnsi="Arial"/>
            <w:color w:val="1155cc"/>
            <w:sz w:val="20"/>
            <w:szCs w:val="20"/>
            <w:highlight w:val="white"/>
            <w:rtl w:val="0"/>
          </w:rPr>
          <w:t xml:space="preserve">https://doi.org/10.3917/inno.pr2.0138</w:t>
        </w:r>
      </w:hyperlink>
      <w:r w:rsidDel="00000000" w:rsidR="00000000" w:rsidRPr="00000000">
        <w:rPr>
          <w:rtl w:val="0"/>
        </w:rPr>
      </w:r>
    </w:p>
    <w:p w:rsidR="00000000" w:rsidDel="00000000" w:rsidP="00000000" w:rsidRDefault="00000000" w:rsidRPr="00000000" w14:paraId="000000F7">
      <w:pPr>
        <w:spacing w:after="240" w:before="240" w:lineRule="auto"/>
        <w:jc w:val="both"/>
        <w:rPr>
          <w:rFonts w:ascii="Arial" w:cs="Arial" w:eastAsia="Arial" w:hAnsi="Arial"/>
          <w:color w:val="1155cc"/>
          <w:sz w:val="20"/>
          <w:szCs w:val="20"/>
          <w:highlight w:val="white"/>
        </w:rPr>
      </w:pPr>
      <w:r w:rsidDel="00000000" w:rsidR="00000000" w:rsidRPr="00000000">
        <w:rPr>
          <w:rFonts w:ascii="Arial" w:cs="Arial" w:eastAsia="Arial" w:hAnsi="Arial"/>
          <w:color w:val="323232"/>
          <w:sz w:val="20"/>
          <w:szCs w:val="20"/>
          <w:highlight w:val="white"/>
          <w:rtl w:val="0"/>
        </w:rPr>
        <w:t xml:space="preserve">Shuwaikh, F., Benkraiem, R. &amp; Dubocage, E. (2023). Investment in Green Innovation: How does It Contribute to Environmental and Financial Performance?. </w:t>
      </w:r>
      <w:r w:rsidDel="00000000" w:rsidR="00000000" w:rsidRPr="00000000">
        <w:rPr>
          <w:rFonts w:ascii="Arial" w:cs="Arial" w:eastAsia="Arial" w:hAnsi="Arial"/>
          <w:i w:val="1"/>
          <w:color w:val="323232"/>
          <w:sz w:val="20"/>
          <w:szCs w:val="20"/>
          <w:highlight w:val="white"/>
          <w:rtl w:val="0"/>
        </w:rPr>
        <w:t xml:space="preserve">Journal of Innovation Economics &amp; Management</w:t>
      </w:r>
      <w:r w:rsidDel="00000000" w:rsidR="00000000" w:rsidRPr="00000000">
        <w:rPr>
          <w:rFonts w:ascii="Arial" w:cs="Arial" w:eastAsia="Arial" w:hAnsi="Arial"/>
          <w:color w:val="323232"/>
          <w:sz w:val="20"/>
          <w:szCs w:val="20"/>
          <w:highlight w:val="white"/>
          <w:rtl w:val="0"/>
        </w:rPr>
        <w:t xml:space="preserve">, </w:t>
      </w:r>
      <w:hyperlink r:id="rId39">
        <w:r w:rsidDel="00000000" w:rsidR="00000000" w:rsidRPr="00000000">
          <w:rPr>
            <w:rFonts w:ascii="Arial" w:cs="Arial" w:eastAsia="Arial" w:hAnsi="Arial"/>
            <w:color w:val="1155cc"/>
            <w:sz w:val="20"/>
            <w:szCs w:val="20"/>
            <w:highlight w:val="white"/>
            <w:rtl w:val="0"/>
          </w:rPr>
          <w:t xml:space="preserve">https://doi.org/10.3917/jie.pr1.0137</w:t>
        </w:r>
      </w:hyperlink>
      <w:r w:rsidDel="00000000" w:rsidR="00000000" w:rsidRPr="00000000">
        <w:rPr>
          <w:rtl w:val="0"/>
        </w:rPr>
      </w:r>
    </w:p>
    <w:p w:rsidR="00000000" w:rsidDel="00000000" w:rsidP="00000000" w:rsidRDefault="00000000" w:rsidRPr="00000000" w14:paraId="000000F8">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0F9">
      <w:pPr>
        <w:rPr/>
      </w:pPr>
      <w:r w:rsidDel="00000000" w:rsidR="00000000" w:rsidRPr="00000000">
        <w:br w:type="page"/>
      </w:r>
      <w:r w:rsidDel="00000000" w:rsidR="00000000" w:rsidRPr="00000000">
        <w:rPr>
          <w:rtl w:val="0"/>
        </w:rPr>
      </w:r>
    </w:p>
    <w:tbl>
      <w:tblPr>
        <w:tblStyle w:val="Table14"/>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0FA">
            <w:pPr>
              <w:pStyle w:val="Heading2"/>
              <w:spacing w:after="60" w:before="60" w:lineRule="auto"/>
              <w:rPr>
                <w:rFonts w:ascii="Verdana" w:cs="Verdana" w:eastAsia="Verdana" w:hAnsi="Verdana"/>
                <w:b w:val="1"/>
                <w:color w:val="ffffff"/>
                <w:sz w:val="40"/>
                <w:szCs w:val="40"/>
              </w:rPr>
            </w:pPr>
            <w:bookmarkStart w:colFirst="0" w:colLast="0" w:name="_heading=h.4d34og8" w:id="8"/>
            <w:bookmarkEnd w:id="8"/>
            <w:r w:rsidDel="00000000" w:rsidR="00000000" w:rsidRPr="00000000">
              <w:rPr>
                <w:rFonts w:ascii="Verdana" w:cs="Verdana" w:eastAsia="Verdana" w:hAnsi="Verdana"/>
                <w:b w:val="1"/>
                <w:color w:val="ffffff"/>
                <w:sz w:val="40"/>
                <w:szCs w:val="40"/>
                <w:rtl w:val="0"/>
              </w:rPr>
              <w:t xml:space="preserve">Einheit  5: Interessenvertretung und bürgerschaftliches Engagement</w:t>
            </w:r>
          </w:p>
        </w:tc>
      </w:tr>
    </w:tbl>
    <w:p w:rsidR="00000000" w:rsidDel="00000000" w:rsidP="00000000" w:rsidRDefault="00000000" w:rsidRPr="00000000" w14:paraId="000000FB">
      <w:pPr>
        <w:spacing w:after="160" w:line="240" w:lineRule="auto"/>
        <w:jc w:val="both"/>
        <w:rPr>
          <w:rFonts w:ascii="Avenir" w:cs="Avenir" w:eastAsia="Avenir" w:hAnsi="Avenir"/>
          <w:color w:val="366091"/>
          <w:sz w:val="28"/>
          <w:szCs w:val="28"/>
        </w:rPr>
      </w:pPr>
      <w:r w:rsidDel="00000000" w:rsidR="00000000" w:rsidRPr="00000000">
        <w:rPr>
          <w:rtl w:val="0"/>
        </w:rPr>
      </w:r>
    </w:p>
    <w:p w:rsidR="00000000" w:rsidDel="00000000" w:rsidP="00000000" w:rsidRDefault="00000000" w:rsidRPr="00000000" w14:paraId="000000FC">
      <w:pPr>
        <w:spacing w:after="160" w:line="240" w:lineRule="auto"/>
        <w:jc w:val="both"/>
        <w:rPr>
          <w:rFonts w:ascii="Avenir" w:cs="Avenir" w:eastAsia="Avenir" w:hAnsi="Avenir"/>
        </w:rPr>
      </w:pPr>
      <w:r w:rsidDel="00000000" w:rsidR="00000000" w:rsidRPr="00000000">
        <w:rPr>
          <w:rtl w:val="0"/>
        </w:rPr>
      </w:r>
    </w:p>
    <w:tbl>
      <w:tblPr>
        <w:tblStyle w:val="Table15"/>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0FD">
            <w:pPr>
              <w:jc w:val="center"/>
              <w:rPr>
                <w:rFonts w:ascii="Avenir" w:cs="Avenir" w:eastAsia="Avenir" w:hAnsi="Avenir"/>
                <w:b w:val="1"/>
                <w:color w:val="ffffff"/>
                <w:sz w:val="24"/>
                <w:szCs w:val="24"/>
              </w:rPr>
            </w:pPr>
            <w:r w:rsidDel="00000000" w:rsidR="00000000" w:rsidRPr="00000000">
              <w:rPr>
                <w:rFonts w:ascii="Avenir" w:cs="Avenir" w:eastAsia="Avenir" w:hAnsi="Avenir"/>
                <w:b w:val="1"/>
                <w:color w:val="ffffff"/>
                <w:sz w:val="24"/>
                <w:szCs w:val="24"/>
                <w:rtl w:val="0"/>
              </w:rPr>
              <w:t xml:space="preserve">LERNERGEBNISSE</w:t>
            </w:r>
          </w:p>
        </w:tc>
      </w:tr>
    </w:tbl>
    <w:p w:rsidR="00000000" w:rsidDel="00000000" w:rsidP="00000000" w:rsidRDefault="00000000" w:rsidRPr="00000000" w14:paraId="000000FE">
      <w:pPr>
        <w:spacing w:after="0" w:line="240" w:lineRule="auto"/>
        <w:rPr>
          <w:rFonts w:ascii="Avenir" w:cs="Avenir" w:eastAsia="Avenir" w:hAnsi="Avenir"/>
          <w:color w:val="000000"/>
        </w:rPr>
      </w:pPr>
      <w:r w:rsidDel="00000000" w:rsidR="00000000" w:rsidRPr="00000000">
        <w:rPr>
          <w:rFonts w:ascii="Avenir" w:cs="Avenir" w:eastAsia="Avenir" w:hAnsi="Avenir"/>
          <w:color w:val="000000"/>
        </w:rPr>
        <mc:AlternateContent>
          <mc:Choice Requires="wpg">
            <w:drawing>
              <wp:inline distB="0" distT="0" distL="0" distR="0">
                <wp:extent cx="5400675" cy="4870764"/>
                <wp:effectExtent b="0" l="0" r="0" t="0"/>
                <wp:docPr id="19" name=""/>
                <a:graphic>
                  <a:graphicData uri="http://schemas.microsoft.com/office/word/2010/wordprocessingGroup">
                    <wpg:wgp>
                      <wpg:cNvGrpSpPr/>
                      <wpg:grpSpPr>
                        <a:xfrm>
                          <a:off x="2645650" y="1344600"/>
                          <a:ext cx="5400675" cy="4870764"/>
                          <a:chOff x="2645650" y="1344600"/>
                          <a:chExt cx="5400700" cy="4870800"/>
                        </a:xfrm>
                      </wpg:grpSpPr>
                      <wpg:grpSp>
                        <wpg:cNvGrpSpPr/>
                        <wpg:grpSpPr>
                          <a:xfrm>
                            <a:off x="2645663" y="1344618"/>
                            <a:ext cx="5400675" cy="4870764"/>
                            <a:chOff x="2645975" y="2140000"/>
                            <a:chExt cx="5400050" cy="3280000"/>
                          </a:xfrm>
                        </wpg:grpSpPr>
                        <wps:wsp>
                          <wps:cNvSpPr/>
                          <wps:cNvPr id="3" name="Shape 3"/>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71" name="Shape 71"/>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73" name="Shape 73"/>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4" name="Shape 74"/>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5" name="Shape 75"/>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6" name="Shape 76"/>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Kenntnisse</w:t>
                                    </w:r>
                                  </w:p>
                                </w:txbxContent>
                              </wps:txbx>
                              <wps:bodyPr anchorCtr="0" anchor="t" bIns="0" lIns="0" spcFirstLastPara="1" rIns="62225" wrap="square" tIns="48000">
                                <a:noAutofit/>
                              </wps:bodyPr>
                            </wps:wsp>
                            <wps:wsp>
                              <wps:cNvSpPr/>
                              <wps:cNvPr id="77" name="Shape 77"/>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8" name="Shape 78"/>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9" name="Shape 79"/>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Fähigkeiten</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80" name="Shape 80"/>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1" name="Shape 81"/>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2" name="Shape 82"/>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Verantwortung und Autonomie</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83" name="Shape 83"/>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5400675" cy="4870764"/>
                <wp:effectExtent b="0" l="0" r="0" t="0"/>
                <wp:docPr id="19" name="image25.png"/>
                <a:graphic>
                  <a:graphicData uri="http://schemas.openxmlformats.org/drawingml/2006/picture">
                    <pic:pic>
                      <pic:nvPicPr>
                        <pic:cNvPr id="0" name="image25.png"/>
                        <pic:cNvPicPr preferRelativeResize="0"/>
                      </pic:nvPicPr>
                      <pic:blipFill>
                        <a:blip r:embed="rId40"/>
                        <a:srcRect/>
                        <a:stretch>
                          <a:fillRect/>
                        </a:stretch>
                      </pic:blipFill>
                      <pic:spPr>
                        <a:xfrm>
                          <a:off x="0" y="0"/>
                          <a:ext cx="5400675" cy="4870764"/>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406400</wp:posOffset>
                </wp:positionV>
                <wp:extent cx="1276350" cy="4421505"/>
                <wp:effectExtent b="0" l="0" r="0" t="0"/>
                <wp:wrapNone/>
                <wp:docPr id="5" name=""/>
                <a:graphic>
                  <a:graphicData uri="http://schemas.microsoft.com/office/word/2010/wordprocessingShape">
                    <wps:wsp>
                      <wps:cNvSpPr/>
                      <wps:cNvPr id="21" name="Shape 21"/>
                      <wps:spPr>
                        <a:xfrm>
                          <a:off x="4712588" y="1574010"/>
                          <a:ext cx="1266825" cy="4411980"/>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K1. Die Bedeutung von Interessen-vertretung und bürgerschaftlichem Engagement für die Förderung von Umweltbewusstsein und Engagement zu verstehen</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K2. Auswahl wirksamer Instrumente und Strategien für Interessenvertretung und bürgerschaft-liches Engagement</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K3. Erkennen erfolgreicher Initiativen für Interessenvertretung und bürgerschaft-liches Engagement im Umweltbereich, die von jungen MigrantInnen geleitet werden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406400</wp:posOffset>
                </wp:positionV>
                <wp:extent cx="1276350" cy="4421505"/>
                <wp:effectExtent b="0" l="0" r="0" t="0"/>
                <wp:wrapNone/>
                <wp:docPr id="5" name="image7.png"/>
                <a:graphic>
                  <a:graphicData uri="http://schemas.openxmlformats.org/drawingml/2006/picture">
                    <pic:pic>
                      <pic:nvPicPr>
                        <pic:cNvPr id="0" name="image7.png"/>
                        <pic:cNvPicPr preferRelativeResize="0"/>
                      </pic:nvPicPr>
                      <pic:blipFill>
                        <a:blip r:embed="rId41"/>
                        <a:srcRect/>
                        <a:stretch>
                          <a:fillRect/>
                        </a:stretch>
                      </pic:blipFill>
                      <pic:spPr>
                        <a:xfrm>
                          <a:off x="0" y="0"/>
                          <a:ext cx="1276350" cy="44215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2108200</wp:posOffset>
                </wp:positionH>
                <wp:positionV relativeFrom="paragraph">
                  <wp:posOffset>406400</wp:posOffset>
                </wp:positionV>
                <wp:extent cx="1238250" cy="3743642"/>
                <wp:effectExtent b="0" l="0" r="0" t="0"/>
                <wp:wrapNone/>
                <wp:docPr id="9" name=""/>
                <a:graphic>
                  <a:graphicData uri="http://schemas.microsoft.com/office/word/2010/wordprocessingShape">
                    <wps:wsp>
                      <wps:cNvSpPr/>
                      <wps:cNvPr id="25" name="Shape 25"/>
                      <wps:spPr>
                        <a:xfrm>
                          <a:off x="4734750" y="2227950"/>
                          <a:ext cx="1222500" cy="3104100"/>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F1. Entwicklung von Fähigkeiten zur Organisierung und Mobilisierung von Gemeinschaften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F2. Verbesserung der digitalen Kommunikationsfähigkeiten, um wirksame Umweltbotschaften zu erstellen und zu verbreiten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F3. Entwicklung der Fähigkeit zur Planung und Umsetzung von Initiativen zur Förderung des Umweltschutzes und von Aktionen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2108200</wp:posOffset>
                </wp:positionH>
                <wp:positionV relativeFrom="paragraph">
                  <wp:posOffset>406400</wp:posOffset>
                </wp:positionV>
                <wp:extent cx="1238250" cy="3743642"/>
                <wp:effectExtent b="0" l="0" r="0" t="0"/>
                <wp:wrapNone/>
                <wp:docPr id="9" name="image11.png"/>
                <a:graphic>
                  <a:graphicData uri="http://schemas.openxmlformats.org/drawingml/2006/picture">
                    <pic:pic>
                      <pic:nvPicPr>
                        <pic:cNvPr id="0" name="image11.png"/>
                        <pic:cNvPicPr preferRelativeResize="0"/>
                      </pic:nvPicPr>
                      <pic:blipFill>
                        <a:blip r:embed="rId42"/>
                        <a:srcRect/>
                        <a:stretch>
                          <a:fillRect/>
                        </a:stretch>
                      </pic:blipFill>
                      <pic:spPr>
                        <a:xfrm>
                          <a:off x="0" y="0"/>
                          <a:ext cx="1238250" cy="3743642"/>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3873500</wp:posOffset>
                </wp:positionH>
                <wp:positionV relativeFrom="paragraph">
                  <wp:posOffset>444500</wp:posOffset>
                </wp:positionV>
                <wp:extent cx="1369695" cy="4436745"/>
                <wp:effectExtent b="0" l="0" r="0" t="0"/>
                <wp:wrapNone/>
                <wp:docPr id="10" name=""/>
                <a:graphic>
                  <a:graphicData uri="http://schemas.microsoft.com/office/word/2010/wordprocessingShape">
                    <wps:wsp>
                      <wps:cNvSpPr/>
                      <wps:cNvPr id="26" name="Shape 26"/>
                      <wps:spPr>
                        <a:xfrm>
                          <a:off x="4665915" y="1566390"/>
                          <a:ext cx="1360170" cy="4427220"/>
                        </a:xfrm>
                        <a:prstGeom prst="rect">
                          <a:avLst/>
                        </a:prstGeom>
                        <a:solidFill>
                          <a:schemeClr val="lt1"/>
                        </a:solidFill>
                        <a:ln>
                          <a:noFill/>
                        </a:ln>
                      </wps:spPr>
                      <wps:txbx>
                        <w:txbxContent>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t xml:space="preserve">V/A1. Bewertung und Interpretation der bedeutenden Rolle junger MigrantInnen bei der Interessenvertretung und dem bürgerschaftlichen Engagement im Umweltbereich.</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V/A2. Beschließen, sich aktiv an der Förderung der Nachhaltigkeit zu beteiligen und deren Bedeutung durch Handeln zu demonstrieren.</w:t>
                            </w:r>
                          </w:p>
                          <w:p w:rsidR="00000000" w:rsidDel="00000000" w:rsidP="00000000" w:rsidRDefault="00000000" w:rsidRPr="00000000">
                            <w:pPr>
                              <w:spacing w:after="240" w:before="240" w:line="273.0000114440918"/>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V/A3. Selbstständig und im Team handeln, um Umweltinitiativen und -aktionen zu planen und umzusetzen und dabei den Arbeitsprozess zu überwachen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3873500</wp:posOffset>
                </wp:positionH>
                <wp:positionV relativeFrom="paragraph">
                  <wp:posOffset>444500</wp:posOffset>
                </wp:positionV>
                <wp:extent cx="1369695" cy="4436745"/>
                <wp:effectExtent b="0" l="0" r="0" t="0"/>
                <wp:wrapNone/>
                <wp:docPr id="10" name="image12.png"/>
                <a:graphic>
                  <a:graphicData uri="http://schemas.openxmlformats.org/drawingml/2006/picture">
                    <pic:pic>
                      <pic:nvPicPr>
                        <pic:cNvPr id="0" name="image12.png"/>
                        <pic:cNvPicPr preferRelativeResize="0"/>
                      </pic:nvPicPr>
                      <pic:blipFill>
                        <a:blip r:embed="rId43"/>
                        <a:srcRect/>
                        <a:stretch>
                          <a:fillRect/>
                        </a:stretch>
                      </pic:blipFill>
                      <pic:spPr>
                        <a:xfrm>
                          <a:off x="0" y="0"/>
                          <a:ext cx="1369695" cy="4436745"/>
                        </a:xfrm>
                        <a:prstGeom prst="rect"/>
                        <a:ln/>
                      </pic:spPr>
                    </pic:pic>
                  </a:graphicData>
                </a:graphic>
              </wp:anchor>
            </w:drawing>
          </mc:Fallback>
        </mc:AlternateContent>
      </w:r>
    </w:p>
    <w:p w:rsidR="00000000" w:rsidDel="00000000" w:rsidP="00000000" w:rsidRDefault="00000000" w:rsidRPr="00000000" w14:paraId="000000FF">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Ziel der Lerneinheit</w:t>
      </w:r>
    </w:p>
    <w:p w:rsidR="00000000" w:rsidDel="00000000" w:rsidP="00000000" w:rsidRDefault="00000000" w:rsidRPr="00000000" w14:paraId="00000100">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Sensibilisierung für die Rolle der Interessenvertretung und des bürgerschaftlichen Engagements bei der Förderung des Umweltbewusstseins und des Engagements für die Umwelt und dafür, wie junge MigrantInnen bei diesen Bemühungen eine wichtige Rolle spielen können.</w:t>
      </w:r>
    </w:p>
    <w:p w:rsidR="00000000" w:rsidDel="00000000" w:rsidP="00000000" w:rsidRDefault="00000000" w:rsidRPr="00000000" w14:paraId="00000101">
      <w:pPr>
        <w:spacing w:after="16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102">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Beschreibung der Lerneinheit</w:t>
      </w:r>
    </w:p>
    <w:p w:rsidR="00000000" w:rsidDel="00000000" w:rsidP="00000000" w:rsidRDefault="00000000" w:rsidRPr="00000000" w14:paraId="00000103">
      <w:pPr>
        <w:spacing w:after="160" w:before="240" w:lineRule="auto"/>
        <w:jc w:val="both"/>
        <w:rPr>
          <w:rFonts w:ascii="Avenir" w:cs="Avenir" w:eastAsia="Avenir" w:hAnsi="Avenir"/>
        </w:rPr>
      </w:pPr>
      <w:r w:rsidDel="00000000" w:rsidR="00000000" w:rsidRPr="00000000">
        <w:rPr>
          <w:rFonts w:ascii="Avenir" w:cs="Avenir" w:eastAsia="Avenir" w:hAnsi="Avenir"/>
          <w:rtl w:val="0"/>
        </w:rPr>
        <w:t xml:space="preserve">Da die Welt weiterhin mit dringenden Umweltproblemen zu kämpfen hat, wird es immer deutlicher, dass kollektives Handeln notwendig ist, um sinnvolle Veränderungen zu bewirken. Interessenvertretung und bürgerschaftliches Engagement sind zwei Schlüsselstrategien, die zur Förderung des Umweltbewusstseins und des Engagements eingesetzt werden können, um Einzelpersonen und Gemeinschaften zum Handeln zu bewegen.</w:t>
      </w:r>
    </w:p>
    <w:p w:rsidR="00000000" w:rsidDel="00000000" w:rsidP="00000000" w:rsidRDefault="00000000" w:rsidRPr="00000000" w14:paraId="00000104">
      <w:pPr>
        <w:spacing w:after="160" w:before="240" w:lineRule="auto"/>
        <w:jc w:val="both"/>
        <w:rPr>
          <w:rFonts w:ascii="Avenir" w:cs="Avenir" w:eastAsia="Avenir" w:hAnsi="Avenir"/>
        </w:rPr>
      </w:pPr>
      <w:r w:rsidDel="00000000" w:rsidR="00000000" w:rsidRPr="00000000">
        <w:rPr>
          <w:rFonts w:ascii="Avenir" w:cs="Avenir" w:eastAsia="Avenir" w:hAnsi="Avenir"/>
          <w:rtl w:val="0"/>
        </w:rPr>
        <w:t xml:space="preserve">Junge MigrantInnen standen in den letzten Jahren an der Spitze erfolgreicher Initiativen für Interessenvertretung und bürgerschaftliches Engagement im Umweltbereich, obwohl sie mit besonderen Herausforderungen und Hindernissen konfrontiert waren, indem sie Klimastreiks und Proteste organisierten, nachhaltige Praktiken in ihren Gemeinden einführten und sich für politische Veränderungen einsetzten. Diese Initiativen reichten von gemeindebasierten Projekten bis hin zu nationalen und internationalen Kampagnen und konzentrierten sich auf Themen wie Klimawandel, Umweltverschmutzung und Umweltgerechtigkeit. Durch die Zusammenarbeit und die Mobilisierung ihrer Gemeinden konnten diese jungen Fürsprecher sinnvolle Veränderungen bewirken und andere zum Handeln inspirieren.</w:t>
      </w:r>
    </w:p>
    <w:p w:rsidR="00000000" w:rsidDel="00000000" w:rsidP="00000000" w:rsidRDefault="00000000" w:rsidRPr="00000000" w14:paraId="00000105">
      <w:pPr>
        <w:spacing w:after="160" w:before="240" w:lineRule="auto"/>
        <w:jc w:val="both"/>
        <w:rPr>
          <w:rFonts w:ascii="Avenir" w:cs="Avenir" w:eastAsia="Avenir" w:hAnsi="Avenir"/>
        </w:rPr>
      </w:pPr>
      <w:r w:rsidDel="00000000" w:rsidR="00000000" w:rsidRPr="00000000">
        <w:rPr>
          <w:rFonts w:ascii="Avenir" w:cs="Avenir" w:eastAsia="Avenir" w:hAnsi="Avenir"/>
          <w:rtl w:val="0"/>
        </w:rPr>
        <w:t xml:space="preserve">Diese Lerneinheit, Interessenvertretung und bürgerschaftliches Engagement, bietet eine wertvolle Gelegenheit zu erkunden, wie junge MigrantInnen eine Führungsrolle in der Interessenvertretung und im bürgerschaftlichen Engagement für die Umwelt übernehmen können. Durch die Vermittlung von Beispielen erfolgreicher Initiativen, von Instrumenten zur Mobilisierung und Interessenvertretung sowie von Wissen über wirksame Kommunikationsstrategien hoffen wir, sie zum Handeln zu inspirieren und eine nachhaltigere Zukunft für alle zu fördern.</w:t>
      </w:r>
    </w:p>
    <w:p w:rsidR="00000000" w:rsidDel="00000000" w:rsidP="00000000" w:rsidRDefault="00000000" w:rsidRPr="00000000" w14:paraId="00000106">
      <w:pPr>
        <w:spacing w:after="16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107">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Dauer</w:t>
      </w:r>
    </w:p>
    <w:tbl>
      <w:tblPr>
        <w:tblStyle w:val="Table16"/>
        <w:tblW w:w="8105.0"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34"/>
        <w:gridCol w:w="1809"/>
        <w:gridCol w:w="1476"/>
        <w:tblGridChange w:id="0">
          <w:tblGrid>
            <w:gridCol w:w="1526"/>
            <w:gridCol w:w="1701"/>
            <w:gridCol w:w="1559"/>
            <w:gridCol w:w="34"/>
            <w:gridCol w:w="1809"/>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108">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Kontakt-Stunden</w:t>
            </w:r>
          </w:p>
        </w:tc>
        <w:tc>
          <w:tcPr>
            <w:shd w:fill="auto" w:val="clear"/>
            <w:vAlign w:val="center"/>
          </w:tcPr>
          <w:p w:rsidR="00000000" w:rsidDel="00000000" w:rsidP="00000000" w:rsidRDefault="00000000" w:rsidRPr="00000000" w14:paraId="00000109">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Praktische Stunden</w:t>
            </w:r>
          </w:p>
        </w:tc>
        <w:tc>
          <w:tcPr>
            <w:gridSpan w:val="2"/>
            <w:shd w:fill="auto" w:val="clear"/>
            <w:vAlign w:val="center"/>
          </w:tcPr>
          <w:p w:rsidR="00000000" w:rsidDel="00000000" w:rsidP="00000000" w:rsidRDefault="00000000" w:rsidRPr="00000000" w14:paraId="0000010A">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Selbstlernstunden</w:t>
            </w:r>
          </w:p>
        </w:tc>
        <w:tc>
          <w:tcPr>
            <w:shd w:fill="auto" w:val="clear"/>
            <w:vAlign w:val="center"/>
          </w:tcPr>
          <w:p w:rsidR="00000000" w:rsidDel="00000000" w:rsidP="00000000" w:rsidRDefault="00000000" w:rsidRPr="00000000" w14:paraId="0000010C">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Bewertungsstunden</w:t>
            </w:r>
          </w:p>
        </w:tc>
        <w:tc>
          <w:tcPr>
            <w:shd w:fill="auto" w:val="clear"/>
            <w:vAlign w:val="center"/>
          </w:tcPr>
          <w:p w:rsidR="00000000" w:rsidDel="00000000" w:rsidP="00000000" w:rsidRDefault="00000000" w:rsidRPr="00000000" w14:paraId="0000010D">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GESAMT</w:t>
            </w:r>
          </w:p>
        </w:tc>
      </w:tr>
      <w:tr>
        <w:trPr>
          <w:cantSplit w:val="0"/>
          <w:trHeight w:val="247" w:hRule="atLeast"/>
          <w:tblHeader w:val="0"/>
        </w:trPr>
        <w:tc>
          <w:tcPr>
            <w:vAlign w:val="center"/>
          </w:tcPr>
          <w:p w:rsidR="00000000" w:rsidDel="00000000" w:rsidP="00000000" w:rsidRDefault="00000000" w:rsidRPr="00000000" w14:paraId="0000010E">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10F">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110">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gridSpan w:val="2"/>
            <w:vAlign w:val="center"/>
          </w:tcPr>
          <w:p w:rsidR="00000000" w:rsidDel="00000000" w:rsidP="00000000" w:rsidRDefault="00000000" w:rsidRPr="00000000" w14:paraId="00000111">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113">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114">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15">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Bibliographie</w:t>
      </w:r>
    </w:p>
    <w:p w:rsidR="00000000" w:rsidDel="00000000" w:rsidP="00000000" w:rsidRDefault="00000000" w:rsidRPr="00000000" w14:paraId="00000116">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Katschnig, H., &amp; Griesbacher, A. (2018). Environmental advocacy: The role of nonprofit organizations. In Nonprofit Organizations and Civic Engagement in the United States (pp. 235-250). Springer, Cham.</w:t>
      </w:r>
    </w:p>
    <w:p w:rsidR="00000000" w:rsidDel="00000000" w:rsidP="00000000" w:rsidRDefault="00000000" w:rsidRPr="00000000" w14:paraId="00000117">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Rode, J., &amp; French, H. (2019). Climate change advocacy and civic engagement in the United States. In Climate Change and Civil Society (pp. 105-118). Routledge.</w:t>
      </w:r>
    </w:p>
    <w:p w:rsidR="00000000" w:rsidDel="00000000" w:rsidP="00000000" w:rsidRDefault="00000000" w:rsidRPr="00000000" w14:paraId="00000118">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Brown, D. M. (2020). The Youth Climate Strike Movement and the Mobilization of Young People for Environmental Activism. The Journal of Environmental Education, 51(4-5), 317-327.</w:t>
      </w:r>
    </w:p>
    <w:p w:rsidR="00000000" w:rsidDel="00000000" w:rsidP="00000000" w:rsidRDefault="00000000" w:rsidRPr="00000000" w14:paraId="00000119">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Van Dyck, H., De Cocker, K., &amp; De Bourdeaudhuij, I. (2018). Social media and environmental activism: A study of young migrants' engagement in environmental issues. Environmental Communication, 12(3), 343-356.</w:t>
      </w:r>
    </w:p>
    <w:p w:rsidR="00000000" w:rsidDel="00000000" w:rsidP="00000000" w:rsidRDefault="00000000" w:rsidRPr="00000000" w14:paraId="0000011A">
      <w:pPr>
        <w:spacing w:after="120" w:line="240" w:lineRule="auto"/>
        <w:jc w:val="both"/>
        <w:rPr>
          <w:rFonts w:ascii="Avenir" w:cs="Avenir" w:eastAsia="Avenir" w:hAnsi="Avenir"/>
        </w:rPr>
      </w:pPr>
      <w:r w:rsidDel="00000000" w:rsidR="00000000" w:rsidRPr="00000000">
        <w:rPr>
          <w:rFonts w:ascii="Avenir" w:cs="Avenir" w:eastAsia="Avenir" w:hAnsi="Avenir"/>
          <w:rtl w:val="0"/>
        </w:rPr>
        <w:t xml:space="preserve">Meijerink, S., &amp; Stead, D. (2021). Circular economy advocacy in the European Union: Promoting a transformative policy agenda. Journal of Cleaner Production, 311, 127480.</w:t>
      </w:r>
    </w:p>
    <w:p w:rsidR="00000000" w:rsidDel="00000000" w:rsidP="00000000" w:rsidRDefault="00000000" w:rsidRPr="00000000" w14:paraId="0000011B">
      <w:pPr>
        <w:spacing w:after="120" w:line="240" w:lineRule="auto"/>
        <w:jc w:val="both"/>
        <w:rPr>
          <w:rFonts w:ascii="Avenir" w:cs="Avenir" w:eastAsia="Avenir" w:hAnsi="Avenir"/>
          <w:color w:val="1155cc"/>
          <w:u w:val="single"/>
        </w:rPr>
      </w:pPr>
      <w:r w:rsidDel="00000000" w:rsidR="00000000" w:rsidRPr="00000000">
        <w:rPr>
          <w:rFonts w:ascii="Avenir" w:cs="Avenir" w:eastAsia="Avenir" w:hAnsi="Avenir"/>
          <w:rtl w:val="0"/>
        </w:rPr>
        <w:t xml:space="preserve">The United Nations Alliance of Civilizations. (2018). Advocacy Toolkit for Young Migrants and Refugees. Retrieved from</w:t>
      </w:r>
      <w:hyperlink r:id="rId44">
        <w:r w:rsidDel="00000000" w:rsidR="00000000" w:rsidRPr="00000000">
          <w:rPr>
            <w:rFonts w:ascii="Avenir" w:cs="Avenir" w:eastAsia="Avenir" w:hAnsi="Avenir"/>
            <w:rtl w:val="0"/>
          </w:rPr>
          <w:t xml:space="preserve"> </w:t>
        </w:r>
      </w:hyperlink>
      <w:hyperlink r:id="rId45">
        <w:r w:rsidDel="00000000" w:rsidR="00000000" w:rsidRPr="00000000">
          <w:rPr>
            <w:rFonts w:ascii="Avenir" w:cs="Avenir" w:eastAsia="Avenir" w:hAnsi="Avenir"/>
            <w:color w:val="1155cc"/>
            <w:u w:val="single"/>
            <w:rtl w:val="0"/>
          </w:rPr>
          <w:t xml:space="preserve">https://www.unaoc.org/wp-content/uploads/2018/06/Advocacy-Toolkit-for-Young-Migrants-and-Refugees.pdf</w:t>
        </w:r>
      </w:hyperlink>
      <w:r w:rsidDel="00000000" w:rsidR="00000000" w:rsidRPr="00000000">
        <w:rPr>
          <w:rtl w:val="0"/>
        </w:rPr>
      </w:r>
    </w:p>
    <w:p w:rsidR="00000000" w:rsidDel="00000000" w:rsidP="00000000" w:rsidRDefault="00000000" w:rsidRPr="00000000" w14:paraId="0000011C">
      <w:pPr>
        <w:rPr>
          <w:rFonts w:ascii="Avenir" w:cs="Avenir" w:eastAsia="Avenir" w:hAnsi="Avenir"/>
          <w:color w:val="1155cc"/>
          <w:u w:val="single"/>
        </w:rPr>
      </w:pPr>
      <w:r w:rsidDel="00000000" w:rsidR="00000000" w:rsidRPr="00000000">
        <w:br w:type="page"/>
      </w:r>
      <w:r w:rsidDel="00000000" w:rsidR="00000000" w:rsidRPr="00000000">
        <w:rPr>
          <w:rtl w:val="0"/>
        </w:rPr>
      </w:r>
    </w:p>
    <w:p w:rsidR="00000000" w:rsidDel="00000000" w:rsidP="00000000" w:rsidRDefault="00000000" w:rsidRPr="00000000" w14:paraId="0000011D">
      <w:pPr>
        <w:spacing w:after="120" w:line="240" w:lineRule="auto"/>
        <w:jc w:val="both"/>
        <w:rPr>
          <w:rFonts w:ascii="Avenir" w:cs="Avenir" w:eastAsia="Avenir" w:hAnsi="Avenir"/>
        </w:rPr>
      </w:pPr>
      <w:r w:rsidDel="00000000" w:rsidR="00000000" w:rsidRPr="00000000">
        <w:rPr>
          <w:rtl w:val="0"/>
        </w:rPr>
      </w:r>
    </w:p>
    <w:tbl>
      <w:tblPr>
        <w:tblStyle w:val="Table17"/>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blHeader w:val="0"/>
        </w:trPr>
        <w:tc>
          <w:tcPr>
            <w:shd w:fill="31849b" w:val="clear"/>
            <w:vAlign w:val="center"/>
          </w:tcPr>
          <w:p w:rsidR="00000000" w:rsidDel="00000000" w:rsidP="00000000" w:rsidRDefault="00000000" w:rsidRPr="00000000" w14:paraId="0000011E">
            <w:pPr>
              <w:pStyle w:val="Heading2"/>
              <w:spacing w:after="60" w:before="60" w:lineRule="auto"/>
              <w:rPr>
                <w:rFonts w:ascii="Verdana" w:cs="Verdana" w:eastAsia="Verdana" w:hAnsi="Verdana"/>
                <w:b w:val="1"/>
                <w:color w:val="ffffff"/>
                <w:sz w:val="40"/>
                <w:szCs w:val="40"/>
              </w:rPr>
            </w:pPr>
            <w:bookmarkStart w:colFirst="0" w:colLast="0" w:name="_heading=h.2s8eyo1" w:id="9"/>
            <w:bookmarkEnd w:id="9"/>
            <w:r w:rsidDel="00000000" w:rsidR="00000000" w:rsidRPr="00000000">
              <w:rPr>
                <w:rFonts w:ascii="Verdana" w:cs="Verdana" w:eastAsia="Verdana" w:hAnsi="Verdana"/>
                <w:b w:val="1"/>
                <w:color w:val="ffffff"/>
                <w:sz w:val="40"/>
                <w:szCs w:val="40"/>
                <w:rtl w:val="0"/>
              </w:rPr>
              <w:t xml:space="preserve">Einheit  6: Persönliche Reflexion und Aktionsplanung</w:t>
            </w:r>
          </w:p>
        </w:tc>
      </w:tr>
    </w:tbl>
    <w:p w:rsidR="00000000" w:rsidDel="00000000" w:rsidP="00000000" w:rsidRDefault="00000000" w:rsidRPr="00000000" w14:paraId="0000011F">
      <w:pPr>
        <w:spacing w:after="0" w:line="240" w:lineRule="auto"/>
        <w:jc w:val="both"/>
        <w:rPr>
          <w:rFonts w:ascii="Avenir" w:cs="Avenir" w:eastAsia="Avenir" w:hAnsi="Avenir"/>
          <w:sz w:val="24"/>
          <w:szCs w:val="24"/>
        </w:rPr>
      </w:pPr>
      <w:r w:rsidDel="00000000" w:rsidR="00000000" w:rsidRPr="00000000">
        <w:rPr>
          <w:rtl w:val="0"/>
        </w:rPr>
      </w:r>
    </w:p>
    <w:p w:rsidR="00000000" w:rsidDel="00000000" w:rsidP="00000000" w:rsidRDefault="00000000" w:rsidRPr="00000000" w14:paraId="00000120">
      <w:pPr>
        <w:spacing w:after="0" w:line="240" w:lineRule="auto"/>
        <w:jc w:val="both"/>
        <w:rPr>
          <w:rFonts w:ascii="Avenir" w:cs="Avenir" w:eastAsia="Avenir" w:hAnsi="Avenir"/>
          <w:sz w:val="24"/>
          <w:szCs w:val="24"/>
        </w:rPr>
      </w:pPr>
      <w:r w:rsidDel="00000000" w:rsidR="00000000" w:rsidRPr="00000000">
        <w:rPr>
          <w:rtl w:val="0"/>
        </w:rPr>
      </w:r>
    </w:p>
    <w:tbl>
      <w:tblPr>
        <w:tblStyle w:val="Table18"/>
        <w:tblW w:w="85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504"/>
        <w:tblGridChange w:id="0">
          <w:tblGrid>
            <w:gridCol w:w="8504"/>
          </w:tblGrid>
        </w:tblGridChange>
      </w:tblGrid>
      <w:tr>
        <w:trPr>
          <w:cantSplit w:val="0"/>
          <w:trHeight w:val="466" w:hRule="atLeast"/>
          <w:tblHeader w:val="0"/>
        </w:trPr>
        <w:tc>
          <w:tcPr>
            <w:shd w:fill="95b3d7" w:val="clear"/>
            <w:vAlign w:val="center"/>
          </w:tcPr>
          <w:p w:rsidR="00000000" w:rsidDel="00000000" w:rsidP="00000000" w:rsidRDefault="00000000" w:rsidRPr="00000000" w14:paraId="00000121">
            <w:pPr>
              <w:jc w:val="center"/>
              <w:rPr>
                <w:rFonts w:ascii="Avenir" w:cs="Avenir" w:eastAsia="Avenir" w:hAnsi="Avenir"/>
                <w:b w:val="1"/>
                <w:color w:val="ffffff"/>
                <w:sz w:val="24"/>
                <w:szCs w:val="24"/>
              </w:rPr>
            </w:pPr>
            <w:r w:rsidDel="00000000" w:rsidR="00000000" w:rsidRPr="00000000">
              <w:rPr>
                <w:rFonts w:ascii="Avenir" w:cs="Avenir" w:eastAsia="Avenir" w:hAnsi="Avenir"/>
                <w:b w:val="1"/>
                <w:color w:val="ffffff"/>
                <w:sz w:val="24"/>
                <w:szCs w:val="24"/>
                <w:rtl w:val="0"/>
              </w:rPr>
              <w:t xml:space="preserve">LERNERGEBNISSE</w:t>
            </w:r>
          </w:p>
        </w:tc>
      </w:tr>
    </w:tbl>
    <w:p w:rsidR="00000000" w:rsidDel="00000000" w:rsidP="00000000" w:rsidRDefault="00000000" w:rsidRPr="00000000" w14:paraId="00000122">
      <w:pPr>
        <w:spacing w:after="0" w:line="240" w:lineRule="auto"/>
        <w:rPr>
          <w:rFonts w:ascii="Avenir" w:cs="Avenir" w:eastAsia="Avenir" w:hAnsi="Avenir"/>
          <w:color w:val="000000"/>
        </w:rPr>
      </w:pPr>
      <w:r w:rsidDel="00000000" w:rsidR="00000000" w:rsidRPr="00000000">
        <w:rPr>
          <w:rFonts w:ascii="Avenir" w:cs="Avenir" w:eastAsia="Avenir" w:hAnsi="Avenir"/>
          <w:color w:val="000000"/>
        </w:rPr>
        <mc:AlternateContent>
          <mc:Choice Requires="wpg">
            <w:drawing>
              <wp:inline distB="0" distT="0" distL="0" distR="0">
                <wp:extent cx="5400040" cy="5448300"/>
                <wp:effectExtent b="0" l="0" r="0" t="0"/>
                <wp:docPr id="17" name=""/>
                <a:graphic>
                  <a:graphicData uri="http://schemas.microsoft.com/office/word/2010/wordprocessingGroup">
                    <wpg:wgp>
                      <wpg:cNvGrpSpPr/>
                      <wpg:grpSpPr>
                        <a:xfrm>
                          <a:off x="2645975" y="1055850"/>
                          <a:ext cx="5400040" cy="5448300"/>
                          <a:chOff x="2645975" y="1055850"/>
                          <a:chExt cx="5400050" cy="5448300"/>
                        </a:xfrm>
                      </wpg:grpSpPr>
                      <wpg:grpSp>
                        <wpg:cNvGrpSpPr/>
                        <wpg:grpSpPr>
                          <a:xfrm>
                            <a:off x="2645980" y="1055850"/>
                            <a:ext cx="5400040" cy="5448300"/>
                            <a:chOff x="2645975" y="2140000"/>
                            <a:chExt cx="5400050" cy="3280000"/>
                          </a:xfrm>
                        </wpg:grpSpPr>
                        <wps:wsp>
                          <wps:cNvSpPr/>
                          <wps:cNvPr id="3" name="Shape 3"/>
                          <wps:spPr>
                            <a:xfrm>
                              <a:off x="2645975" y="2140000"/>
                              <a:ext cx="540005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2642925" y="2140000"/>
                              <a:chExt cx="5403100" cy="3280000"/>
                            </a:xfrm>
                          </wpg:grpSpPr>
                          <wps:wsp>
                            <wps:cNvSpPr/>
                            <wps:cNvPr id="55" name="Shape 55"/>
                            <wps:spPr>
                              <a:xfrm>
                                <a:off x="2642925" y="2140000"/>
                                <a:ext cx="5403100" cy="328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45980" y="2140023"/>
                                <a:ext cx="5400040" cy="3279954"/>
                                <a:chOff x="0" y="0"/>
                                <a:chExt cx="5400025" cy="3272000"/>
                              </a:xfrm>
                            </wpg:grpSpPr>
                            <wps:wsp>
                              <wps:cNvSpPr/>
                              <wps:cNvPr id="57" name="Shape 57"/>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8" name="Shape 58"/>
                              <wps:spPr>
                                <a:xfrm>
                                  <a:off x="0" y="0"/>
                                  <a:ext cx="5400025" cy="327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9" name="Shape 59"/>
                              <wps:spPr>
                                <a:xfrm>
                                  <a:off x="3299" y="245537"/>
                                  <a:ext cx="1696679" cy="2766138"/>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0" name="Shape 60"/>
                              <wps:spPr>
                                <a:xfrm rot="-5400000">
                                  <a:off x="-978614" y="1227477"/>
                                  <a:ext cx="2268233" cy="30440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Kenntnisse</w:t>
                                    </w:r>
                                  </w:p>
                                </w:txbxContent>
                              </wps:txbx>
                              <wps:bodyPr anchorCtr="0" anchor="t" bIns="0" lIns="0" spcFirstLastPara="1" rIns="62225" wrap="square" tIns="48000">
                                <a:noAutofit/>
                              </wps:bodyPr>
                            </wps:wsp>
                            <wps:wsp>
                              <wps:cNvSpPr/>
                              <wps:cNvPr id="61" name="Shape 61"/>
                              <wps:spPr>
                                <a:xfrm>
                                  <a:off x="307468" y="245563"/>
                                  <a:ext cx="1133909" cy="276613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2" name="Shape 62"/>
                              <wps:spPr>
                                <a:xfrm>
                                  <a:off x="1861847" y="245537"/>
                                  <a:ext cx="1565612" cy="2762729"/>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3" name="Shape 63"/>
                              <wps:spPr>
                                <a:xfrm rot="-5400000">
                                  <a:off x="922714" y="1211337"/>
                                  <a:ext cx="2265438" cy="380425"/>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Fähigkeiten</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64" name="Shape 64"/>
                              <wps:spPr>
                                <a:xfrm rot="5400000">
                                  <a:off x="1452221" y="1693306"/>
                                  <a:ext cx="267711" cy="227814"/>
                                </a:xfrm>
                                <a:prstGeom prst="flowChartExtra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5" name="Shape 65"/>
                              <wps:spPr>
                                <a:xfrm>
                                  <a:off x="3525383" y="253947"/>
                                  <a:ext cx="1862973" cy="2780882"/>
                                </a:xfrm>
                                <a:prstGeom prst="roundRect">
                                  <a:avLst>
                                    <a:gd fmla="val 5000" name="adj"/>
                                  </a:avLst>
                                </a:prstGeom>
                                <a:noFill/>
                                <a:ln cap="flat" cmpd="sng" w="12700">
                                  <a:solidFill>
                                    <a:srgbClr val="366092"/>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6" name="Shape 66"/>
                              <wps:spPr>
                                <a:xfrm rot="-5400000">
                                  <a:off x="2571518" y="1207811"/>
                                  <a:ext cx="2280323" cy="372594"/>
                                </a:xfrm>
                                <a:prstGeom prst="rect">
                                  <a:avLst/>
                                </a:prstGeom>
                                <a:noFill/>
                                <a:ln>
                                  <a:noFill/>
                                </a:ln>
                              </wps:spPr>
                              <wps:txbx>
                                <w:txbxContent>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t xml:space="preserve">Verantwortung und Autonomie</w:t>
                                    </w:r>
                                  </w:p>
                                  <w:p w:rsidR="00000000" w:rsidDel="00000000" w:rsidP="00000000" w:rsidRDefault="00000000" w:rsidRPr="00000000">
                                    <w:pPr>
                                      <w:spacing w:after="0" w:before="0" w:line="215.00000953674316"/>
                                      <w:ind w:left="0" w:right="0" w:firstLine="0"/>
                                      <w:jc w:val="right"/>
                                      <w:textDirection w:val="btLr"/>
                                    </w:pPr>
                                    <w:r w:rsidDel="00000000" w:rsidR="00000000" w:rsidRPr="00000000">
                                      <w:rPr>
                                        <w:rFonts w:ascii="Calibri" w:cs="Calibri" w:eastAsia="Calibri" w:hAnsi="Calibri"/>
                                        <w:b w:val="1"/>
                                        <w:i w:val="0"/>
                                        <w:smallCaps w:val="0"/>
                                        <w:strike w:val="0"/>
                                        <w:color w:val="366092"/>
                                        <w:sz w:val="28"/>
                                        <w:vertAlign w:val="baseline"/>
                                      </w:rPr>
                                    </w:r>
                                  </w:p>
                                </w:txbxContent>
                              </wps:txbx>
                              <wps:bodyPr anchorCtr="0" anchor="t" bIns="0" lIns="0" spcFirstLastPara="1" rIns="62225" wrap="square" tIns="48000">
                                <a:noAutofit/>
                              </wps:bodyPr>
                            </wps:wsp>
                            <wps:wsp>
                              <wps:cNvSpPr/>
                              <wps:cNvPr id="67" name="Shape 67"/>
                              <wps:spPr>
                                <a:xfrm>
                                  <a:off x="3873022" y="253947"/>
                                  <a:ext cx="1387915" cy="278088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5400040" cy="5448300"/>
                <wp:effectExtent b="0" l="0" r="0" t="0"/>
                <wp:docPr id="17" name="image19.png"/>
                <a:graphic>
                  <a:graphicData uri="http://schemas.openxmlformats.org/drawingml/2006/picture">
                    <pic:pic>
                      <pic:nvPicPr>
                        <pic:cNvPr id="0" name="image19.png"/>
                        <pic:cNvPicPr preferRelativeResize="0"/>
                      </pic:nvPicPr>
                      <pic:blipFill>
                        <a:blip r:embed="rId46"/>
                        <a:srcRect/>
                        <a:stretch>
                          <a:fillRect/>
                        </a:stretch>
                      </pic:blipFill>
                      <pic:spPr>
                        <a:xfrm>
                          <a:off x="0" y="0"/>
                          <a:ext cx="5400040" cy="5448300"/>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508000</wp:posOffset>
                </wp:positionV>
                <wp:extent cx="1276350" cy="4657725"/>
                <wp:effectExtent b="0" l="0" r="0" t="0"/>
                <wp:wrapNone/>
                <wp:docPr id="12" name=""/>
                <a:graphic>
                  <a:graphicData uri="http://schemas.microsoft.com/office/word/2010/wordprocessingShape">
                    <wps:wsp>
                      <wps:cNvSpPr/>
                      <wps:cNvPr id="28" name="Shape 28"/>
                      <wps:spPr>
                        <a:xfrm>
                          <a:off x="4712588" y="1455900"/>
                          <a:ext cx="1266825" cy="4648200"/>
                        </a:xfrm>
                        <a:prstGeom prst="rect">
                          <a:avLst/>
                        </a:prstGeom>
                        <a:solidFill>
                          <a:schemeClr val="lt1"/>
                        </a:solidFill>
                        <a:ln>
                          <a:noFill/>
                        </a:ln>
                      </wps:spPr>
                      <wps:txbx>
                        <w:txbxContent>
                          <w:p w:rsidR="00000000" w:rsidDel="00000000" w:rsidP="00000000" w:rsidRDefault="00000000" w:rsidRPr="00000000">
                            <w:pPr>
                              <w:spacing w:after="200" w:before="0" w:line="273.99999618530273"/>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t xml:space="preserve">K1. Entwicklung eines Verständnisses für die Bedeutung und die Ansätze der persönlichen Reflexion als Mittel zur Vertiefung des Lernens und des Transfers in die reale Welt. </w:t>
                            </w:r>
                          </w:p>
                          <w:p w:rsidR="00000000" w:rsidDel="00000000" w:rsidP="00000000" w:rsidRDefault="00000000" w:rsidRPr="00000000">
                            <w:pPr>
                              <w:spacing w:after="200" w:before="0" w:line="273.99999618530273"/>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K2. Entwicklung eines Verständnisses für die Bedeutung von und Ansätze für Aktionsplanung als Mittel zur Veränderung auf individueller und kollektiver Ebene.</w:t>
                            </w:r>
                          </w:p>
                          <w:p w:rsidR="00000000" w:rsidDel="00000000" w:rsidP="00000000" w:rsidRDefault="00000000" w:rsidRPr="00000000">
                            <w:pPr>
                              <w:spacing w:after="200" w:before="0" w:line="273.99999618530273"/>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K3. Modelle und Rahmen für die persönliche Reflexion und Aktionsplanung zu erkennen, um Reflexion und Planung als gemeinsamen Prozess zu unterstützen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Calibri" w:cs="Calibri" w:eastAsia="Calibri" w:hAnsi="Calibri"/>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508000</wp:posOffset>
                </wp:positionV>
                <wp:extent cx="1276350" cy="4657725"/>
                <wp:effectExtent b="0" l="0" r="0" t="0"/>
                <wp:wrapNone/>
                <wp:docPr id="12" name="image14.png"/>
                <a:graphic>
                  <a:graphicData uri="http://schemas.openxmlformats.org/drawingml/2006/picture">
                    <pic:pic>
                      <pic:nvPicPr>
                        <pic:cNvPr id="0" name="image14.png"/>
                        <pic:cNvPicPr preferRelativeResize="0"/>
                      </pic:nvPicPr>
                      <pic:blipFill>
                        <a:blip r:embed="rId47"/>
                        <a:srcRect/>
                        <a:stretch>
                          <a:fillRect/>
                        </a:stretch>
                      </pic:blipFill>
                      <pic:spPr>
                        <a:xfrm>
                          <a:off x="0" y="0"/>
                          <a:ext cx="1276350" cy="46577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2108200</wp:posOffset>
                </wp:positionH>
                <wp:positionV relativeFrom="paragraph">
                  <wp:posOffset>444500</wp:posOffset>
                </wp:positionV>
                <wp:extent cx="1241425" cy="4337685"/>
                <wp:effectExtent b="0" l="0" r="0" t="0"/>
                <wp:wrapNone/>
                <wp:docPr id="6" name=""/>
                <a:graphic>
                  <a:graphicData uri="http://schemas.microsoft.com/office/word/2010/wordprocessingShape">
                    <wps:wsp>
                      <wps:cNvSpPr/>
                      <wps:cNvPr id="22" name="Shape 22"/>
                      <wps:spPr>
                        <a:xfrm>
                          <a:off x="4730050" y="1615920"/>
                          <a:ext cx="1231900" cy="4328160"/>
                        </a:xfrm>
                        <a:prstGeom prst="rect">
                          <a:avLst/>
                        </a:prstGeom>
                        <a:solidFill>
                          <a:schemeClr val="lt1"/>
                        </a:solidFill>
                        <a:ln>
                          <a:noFill/>
                        </a:ln>
                      </wps:spPr>
                      <wps:txbx>
                        <w:txbxContent>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t xml:space="preserve">F1. Entwicklung von Fähigkeiten zur persönlichen Reflexion und Erfahrung im Umgang mit Hilfsmitteln zur Unterstützung derselben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F2. Entwicklung von Fähigkeiten zur Aktionsplanung und Erfahrung in der Verwendung von Hilfsmitteln zur Unterstützung derselben</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F3. Entwicklung von Fähigkeiten zur Bewertung und Anwendung von Reflexions- und Planungsinstrumenten und -rahmen, um einen umfassenden Prozess abzuschließen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2108200</wp:posOffset>
                </wp:positionH>
                <wp:positionV relativeFrom="paragraph">
                  <wp:posOffset>444500</wp:posOffset>
                </wp:positionV>
                <wp:extent cx="1241425" cy="4337685"/>
                <wp:effectExtent b="0" l="0" r="0" t="0"/>
                <wp:wrapNone/>
                <wp:docPr id="6" name="image8.png"/>
                <a:graphic>
                  <a:graphicData uri="http://schemas.openxmlformats.org/drawingml/2006/picture">
                    <pic:pic>
                      <pic:nvPicPr>
                        <pic:cNvPr id="0" name="image8.png"/>
                        <pic:cNvPicPr preferRelativeResize="0"/>
                      </pic:nvPicPr>
                      <pic:blipFill>
                        <a:blip r:embed="rId48"/>
                        <a:srcRect/>
                        <a:stretch>
                          <a:fillRect/>
                        </a:stretch>
                      </pic:blipFill>
                      <pic:spPr>
                        <a:xfrm>
                          <a:off x="0" y="0"/>
                          <a:ext cx="1241425" cy="43376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3886200</wp:posOffset>
                </wp:positionH>
                <wp:positionV relativeFrom="paragraph">
                  <wp:posOffset>482600</wp:posOffset>
                </wp:positionV>
                <wp:extent cx="1379855" cy="5267325"/>
                <wp:effectExtent b="0" l="0" r="0" t="0"/>
                <wp:wrapNone/>
                <wp:docPr id="8" name=""/>
                <a:graphic>
                  <a:graphicData uri="http://schemas.microsoft.com/office/word/2010/wordprocessingShape">
                    <wps:wsp>
                      <wps:cNvSpPr/>
                      <wps:cNvPr id="24" name="Shape 24"/>
                      <wps:spPr>
                        <a:xfrm>
                          <a:off x="4660835" y="1151100"/>
                          <a:ext cx="1370330" cy="5257800"/>
                        </a:xfrm>
                        <a:prstGeom prst="rect">
                          <a:avLst/>
                        </a:prstGeom>
                        <a:solidFill>
                          <a:schemeClr val="lt1"/>
                        </a:solidFill>
                        <a:ln>
                          <a:noFill/>
                        </a:ln>
                      </wps:spPr>
                      <wps:txbx>
                        <w:txbxContent>
                          <w:p w:rsidR="00000000" w:rsidDel="00000000" w:rsidP="00000000" w:rsidRDefault="00000000" w:rsidRPr="00000000">
                            <w:pPr>
                              <w:spacing w:after="200" w:before="0" w:line="273.99999618530273"/>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t xml:space="preserve">V/A1. Anwendung eines persönlichen Reflexions-prozesses in Bezug auf das Bewusstsein für den Klimawandel und das Engagement für die Umwelt auf das eigene Verhalten und das Verhalten anderer</w:t>
                            </w:r>
                          </w:p>
                          <w:p w:rsidR="00000000" w:rsidDel="00000000" w:rsidP="00000000" w:rsidRDefault="00000000" w:rsidRPr="00000000">
                            <w:pPr>
                              <w:spacing w:after="200" w:before="0" w:line="273.99999618530273"/>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V/A2. Einen Prozess der Handlungsplanung in Bezug auf das Bewusst-sein für den Klimawandel und das Engagement für die Umwelt auf das eigene Verhalten und das Verhalten anderer anwenden</w:t>
                            </w:r>
                          </w:p>
                          <w:p w:rsidR="00000000" w:rsidDel="00000000" w:rsidP="00000000" w:rsidRDefault="00000000" w:rsidRPr="00000000">
                            <w:pPr>
                              <w:spacing w:after="200" w:before="0" w:line="273.99999618530273"/>
                              <w:ind w:left="0" w:right="0" w:firstLine="0"/>
                              <w:jc w:val="left"/>
                              <w:textDirection w:val="btLr"/>
                            </w:pPr>
                            <w:r w:rsidDel="00000000" w:rsidR="00000000" w:rsidRPr="00000000">
                              <w:rPr>
                                <w:rFonts w:ascii="Calibri" w:cs="Calibri" w:eastAsia="Calibri" w:hAnsi="Calibri"/>
                                <w:b w:val="0"/>
                                <w:i w:val="0"/>
                                <w:smallCaps w:val="0"/>
                                <w:strike w:val="0"/>
                                <w:color w:val="7f7f7f"/>
                                <w:sz w:val="18"/>
                                <w:vertAlign w:val="baseline"/>
                              </w:rPr>
                            </w:r>
                            <w:r w:rsidDel="00000000" w:rsidR="00000000" w:rsidRPr="00000000">
                              <w:rPr>
                                <w:rFonts w:ascii="Calibri" w:cs="Calibri" w:eastAsia="Calibri" w:hAnsi="Calibri"/>
                                <w:b w:val="0"/>
                                <w:i w:val="0"/>
                                <w:smallCaps w:val="0"/>
                                <w:strike w:val="0"/>
                                <w:color w:val="7f7f7f"/>
                                <w:sz w:val="18"/>
                                <w:vertAlign w:val="baseline"/>
                              </w:rPr>
                              <w:t xml:space="preserve">V/A3. Entwicklung und Anwendung eines umfassenden und ganzheitlichen persönlichen Aktionsplans für das Bewusstsein für den Klimawandel und das Engagement für die Umwelt durch einen Roadmap-Prozess, der auf persönlicher Reflexion beruht.</w:t>
                            </w:r>
                          </w:p>
                          <w:p w:rsidR="00000000" w:rsidDel="00000000" w:rsidP="00000000" w:rsidRDefault="00000000" w:rsidRPr="00000000">
                            <w:pPr>
                              <w:spacing w:after="200" w:before="0" w:line="275.00000953674316"/>
                              <w:ind w:left="0" w:right="0" w:firstLine="0"/>
                              <w:jc w:val="left"/>
                              <w:textDirection w:val="btLr"/>
                            </w:pPr>
                            <w:r w:rsidDel="00000000" w:rsidR="00000000" w:rsidRPr="00000000">
                              <w:rPr>
                                <w:rFonts w:ascii="Calibri" w:cs="Calibri" w:eastAsia="Calibri" w:hAnsi="Calibri"/>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3886200</wp:posOffset>
                </wp:positionH>
                <wp:positionV relativeFrom="paragraph">
                  <wp:posOffset>482600</wp:posOffset>
                </wp:positionV>
                <wp:extent cx="1379855" cy="5267325"/>
                <wp:effectExtent b="0" l="0" r="0" t="0"/>
                <wp:wrapNone/>
                <wp:docPr id="8" name="image10.png"/>
                <a:graphic>
                  <a:graphicData uri="http://schemas.openxmlformats.org/drawingml/2006/picture">
                    <pic:pic>
                      <pic:nvPicPr>
                        <pic:cNvPr id="0" name="image10.png"/>
                        <pic:cNvPicPr preferRelativeResize="0"/>
                      </pic:nvPicPr>
                      <pic:blipFill>
                        <a:blip r:embed="rId49"/>
                        <a:srcRect/>
                        <a:stretch>
                          <a:fillRect/>
                        </a:stretch>
                      </pic:blipFill>
                      <pic:spPr>
                        <a:xfrm>
                          <a:off x="0" y="0"/>
                          <a:ext cx="1379855" cy="5267325"/>
                        </a:xfrm>
                        <a:prstGeom prst="rect"/>
                        <a:ln/>
                      </pic:spPr>
                    </pic:pic>
                  </a:graphicData>
                </a:graphic>
              </wp:anchor>
            </w:drawing>
          </mc:Fallback>
        </mc:AlternateContent>
      </w:r>
    </w:p>
    <w:p w:rsidR="00000000" w:rsidDel="00000000" w:rsidP="00000000" w:rsidRDefault="00000000" w:rsidRPr="00000000" w14:paraId="00000123">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24">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Ziel der Lerneinheit</w:t>
      </w:r>
    </w:p>
    <w:p w:rsidR="00000000" w:rsidDel="00000000" w:rsidP="00000000" w:rsidRDefault="00000000" w:rsidRPr="00000000" w14:paraId="00000125">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Entwicklung eines Verständnisses von Ansätzen zur persönlichen Reflexion und Aktionsplanung und Anwendung auf den Bereich des Klimawandels und des Umweltengagements.</w:t>
      </w:r>
    </w:p>
    <w:p w:rsidR="00000000" w:rsidDel="00000000" w:rsidP="00000000" w:rsidRDefault="00000000" w:rsidRPr="00000000" w14:paraId="00000126">
      <w:pPr>
        <w:spacing w:after="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127">
      <w:pPr>
        <w:spacing w:after="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128">
      <w:pPr>
        <w:spacing w:after="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129">
      <w:pPr>
        <w:spacing w:after="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12A">
      <w:pPr>
        <w:spacing w:after="0" w:line="240" w:lineRule="auto"/>
        <w:jc w:val="both"/>
        <w:rPr>
          <w:rFonts w:ascii="Avenir" w:cs="Avenir" w:eastAsia="Avenir" w:hAnsi="Avenir"/>
        </w:rPr>
      </w:pPr>
      <w:r w:rsidDel="00000000" w:rsidR="00000000" w:rsidRPr="00000000">
        <w:rPr>
          <w:rtl w:val="0"/>
        </w:rPr>
      </w:r>
    </w:p>
    <w:p w:rsidR="00000000" w:rsidDel="00000000" w:rsidP="00000000" w:rsidRDefault="00000000" w:rsidRPr="00000000" w14:paraId="0000012B">
      <w:pPr>
        <w:spacing w:after="240" w:before="24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Beschreibung der Lerneinheit</w:t>
      </w:r>
    </w:p>
    <w:p w:rsidR="00000000" w:rsidDel="00000000" w:rsidP="00000000" w:rsidRDefault="00000000" w:rsidRPr="00000000" w14:paraId="0000012C">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Die persönliche Reflexion ist ein wesentliches Element für den "Transfer" vom Lernen im Klassenzimmer zu einem stärker erfahrungsbasierten Lernen und für die Integration und Manifestation des Gelernten im täglichen Leben. Der "Transfer" erfolgt im Wesentlichen vom Klassenzimmer in die reale Welt.</w:t>
      </w:r>
    </w:p>
    <w:p w:rsidR="00000000" w:rsidDel="00000000" w:rsidP="00000000" w:rsidRDefault="00000000" w:rsidRPr="00000000" w14:paraId="0000012D">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Wie Bourner (2003) feststellt, "unterscheidet sich reflektierendes Denken über eine Erfahrung von unreflektiertem Denken durch den Prozess des Hinterfragens der Erfahrung mit suchenden Fragen". Die notwendigen Voraussetzungen für eine effektive persönliche Reflexion sind vielfältig, wie Bauer &amp; Dunn (2003), Fernsten &amp; Fernsten (2005) und Schön (1987) darlegen.</w:t>
      </w:r>
    </w:p>
    <w:p w:rsidR="00000000" w:rsidDel="00000000" w:rsidP="00000000" w:rsidRDefault="00000000" w:rsidRPr="00000000" w14:paraId="0000012E">
      <w:pPr>
        <w:spacing w:after="160" w:line="240" w:lineRule="auto"/>
        <w:jc w:val="both"/>
        <w:rPr>
          <w:rFonts w:ascii="Avenir" w:cs="Avenir" w:eastAsia="Avenir" w:hAnsi="Avenir"/>
        </w:rPr>
      </w:pPr>
      <w:r w:rsidDel="00000000" w:rsidR="00000000" w:rsidRPr="00000000">
        <w:rPr>
          <w:rFonts w:ascii="Avenir" w:cs="Avenir" w:eastAsia="Avenir" w:hAnsi="Avenir"/>
          <w:rtl w:val="0"/>
        </w:rPr>
        <w:t xml:space="preserve">Die Aktionsplanung ist eine natürliche Fortsetzung des Reflexionsprozesses und konzentriert sich auf die Entwicklung eines Aktionsplans, um die Ergebnisse der Reflexion und des damit verbundenen Erfahrungslernens in der realen Welt in die Praxis umzusetzen. Wenn man sich die persönliche Reflexion als einen Entwurf vorstellen kann, ist die Handlungsplanung der Prozess, durch den tatsächlich gehandelt wird.</w:t>
      </w:r>
    </w:p>
    <w:p w:rsidR="00000000" w:rsidDel="00000000" w:rsidP="00000000" w:rsidRDefault="00000000" w:rsidRPr="00000000" w14:paraId="0000012F">
      <w:pPr>
        <w:pBdr>
          <w:top w:space="0" w:sz="0" w:val="nil"/>
          <w:left w:space="0" w:sz="0" w:val="nil"/>
          <w:bottom w:space="0" w:sz="0" w:val="nil"/>
          <w:right w:space="0" w:sz="0" w:val="nil"/>
          <w:between w:space="0" w:sz="0" w:val="nil"/>
        </w:pBdr>
        <w:spacing w:after="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30">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Dauer</w:t>
      </w:r>
    </w:p>
    <w:tbl>
      <w:tblPr>
        <w:tblStyle w:val="Table19"/>
        <w:tblW w:w="8105.0" w:type="dxa"/>
        <w:jc w:val="left"/>
        <w:tblBorders>
          <w:top w:color="000000" w:space="0" w:sz="0" w:val="nil"/>
          <w:left w:color="000000" w:space="0" w:sz="0" w:val="nil"/>
          <w:bottom w:color="000000" w:space="0" w:sz="0" w:val="nil"/>
          <w:right w:color="000000" w:space="0" w:sz="0" w:val="nil"/>
          <w:insideH w:color="93cddc" w:space="0" w:sz="4" w:val="single"/>
          <w:insideV w:color="93cddc" w:space="0" w:sz="4" w:val="single"/>
        </w:tblBorders>
        <w:tblLayout w:type="fixed"/>
        <w:tblLook w:val="0400"/>
      </w:tblPr>
      <w:tblGrid>
        <w:gridCol w:w="1526"/>
        <w:gridCol w:w="1701"/>
        <w:gridCol w:w="1559"/>
        <w:gridCol w:w="34"/>
        <w:gridCol w:w="1809"/>
        <w:gridCol w:w="1476"/>
        <w:tblGridChange w:id="0">
          <w:tblGrid>
            <w:gridCol w:w="1526"/>
            <w:gridCol w:w="1701"/>
            <w:gridCol w:w="1559"/>
            <w:gridCol w:w="34"/>
            <w:gridCol w:w="1809"/>
            <w:gridCol w:w="1476"/>
          </w:tblGrid>
        </w:tblGridChange>
      </w:tblGrid>
      <w:tr>
        <w:trPr>
          <w:cantSplit w:val="0"/>
          <w:trHeight w:val="431" w:hRule="atLeast"/>
          <w:tblHeader w:val="0"/>
        </w:trPr>
        <w:tc>
          <w:tcPr>
            <w:shd w:fill="auto" w:val="clear"/>
            <w:vAlign w:val="center"/>
          </w:tcPr>
          <w:p w:rsidR="00000000" w:rsidDel="00000000" w:rsidP="00000000" w:rsidRDefault="00000000" w:rsidRPr="00000000" w14:paraId="00000131">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Kontakt-Stunden</w:t>
            </w:r>
          </w:p>
        </w:tc>
        <w:tc>
          <w:tcPr>
            <w:shd w:fill="auto" w:val="clear"/>
            <w:vAlign w:val="center"/>
          </w:tcPr>
          <w:p w:rsidR="00000000" w:rsidDel="00000000" w:rsidP="00000000" w:rsidRDefault="00000000" w:rsidRPr="00000000" w14:paraId="00000132">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Praktische Stunden</w:t>
            </w:r>
          </w:p>
        </w:tc>
        <w:tc>
          <w:tcPr>
            <w:gridSpan w:val="2"/>
            <w:shd w:fill="auto" w:val="clear"/>
            <w:vAlign w:val="center"/>
          </w:tcPr>
          <w:p w:rsidR="00000000" w:rsidDel="00000000" w:rsidP="00000000" w:rsidRDefault="00000000" w:rsidRPr="00000000" w14:paraId="00000133">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Selbstlernstunden</w:t>
            </w:r>
          </w:p>
        </w:tc>
        <w:tc>
          <w:tcPr>
            <w:shd w:fill="auto" w:val="clear"/>
            <w:vAlign w:val="center"/>
          </w:tcPr>
          <w:p w:rsidR="00000000" w:rsidDel="00000000" w:rsidP="00000000" w:rsidRDefault="00000000" w:rsidRPr="00000000" w14:paraId="00000135">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Bewertungsstunden</w:t>
            </w:r>
          </w:p>
        </w:tc>
        <w:tc>
          <w:tcPr>
            <w:shd w:fill="auto" w:val="clear"/>
            <w:vAlign w:val="center"/>
          </w:tcPr>
          <w:p w:rsidR="00000000" w:rsidDel="00000000" w:rsidP="00000000" w:rsidRDefault="00000000" w:rsidRPr="00000000" w14:paraId="00000136">
            <w:pPr>
              <w:jc w:val="center"/>
              <w:rPr>
                <w:rFonts w:ascii="Avenir" w:cs="Avenir" w:eastAsia="Avenir" w:hAnsi="Avenir"/>
                <w:b w:val="1"/>
                <w:color w:val="595959"/>
                <w:sz w:val="18"/>
                <w:szCs w:val="18"/>
              </w:rPr>
            </w:pPr>
            <w:r w:rsidDel="00000000" w:rsidR="00000000" w:rsidRPr="00000000">
              <w:rPr>
                <w:rFonts w:ascii="Avenir" w:cs="Avenir" w:eastAsia="Avenir" w:hAnsi="Avenir"/>
                <w:b w:val="1"/>
                <w:color w:val="595959"/>
                <w:sz w:val="18"/>
                <w:szCs w:val="18"/>
                <w:rtl w:val="0"/>
              </w:rPr>
              <w:t xml:space="preserve">GESAMT</w:t>
            </w:r>
          </w:p>
        </w:tc>
      </w:tr>
      <w:tr>
        <w:trPr>
          <w:cantSplit w:val="0"/>
          <w:trHeight w:val="247" w:hRule="atLeast"/>
          <w:tblHeader w:val="0"/>
        </w:trPr>
        <w:tc>
          <w:tcPr>
            <w:vAlign w:val="center"/>
          </w:tcPr>
          <w:p w:rsidR="00000000" w:rsidDel="00000000" w:rsidP="00000000" w:rsidRDefault="00000000" w:rsidRPr="00000000" w14:paraId="00000137">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3</w:t>
            </w:r>
          </w:p>
        </w:tc>
        <w:tc>
          <w:tcPr>
            <w:vAlign w:val="center"/>
          </w:tcPr>
          <w:p w:rsidR="00000000" w:rsidDel="00000000" w:rsidP="00000000" w:rsidRDefault="00000000" w:rsidRPr="00000000" w14:paraId="00000138">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2</w:t>
            </w:r>
          </w:p>
        </w:tc>
        <w:tc>
          <w:tcPr>
            <w:vAlign w:val="center"/>
          </w:tcPr>
          <w:p w:rsidR="00000000" w:rsidDel="00000000" w:rsidP="00000000" w:rsidRDefault="00000000" w:rsidRPr="00000000" w14:paraId="00000139">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4</w:t>
            </w:r>
          </w:p>
        </w:tc>
        <w:tc>
          <w:tcPr>
            <w:gridSpan w:val="2"/>
            <w:vAlign w:val="center"/>
          </w:tcPr>
          <w:p w:rsidR="00000000" w:rsidDel="00000000" w:rsidP="00000000" w:rsidRDefault="00000000" w:rsidRPr="00000000" w14:paraId="0000013A">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w:t>
            </w:r>
          </w:p>
        </w:tc>
        <w:tc>
          <w:tcPr>
            <w:vAlign w:val="center"/>
          </w:tcPr>
          <w:p w:rsidR="00000000" w:rsidDel="00000000" w:rsidP="00000000" w:rsidRDefault="00000000" w:rsidRPr="00000000" w14:paraId="0000013C">
            <w:pPr>
              <w:jc w:val="center"/>
              <w:rPr>
                <w:rFonts w:ascii="Avenir" w:cs="Avenir" w:eastAsia="Avenir" w:hAnsi="Avenir"/>
                <w:b w:val="1"/>
                <w:color w:val="595959"/>
              </w:rPr>
            </w:pPr>
            <w:r w:rsidDel="00000000" w:rsidR="00000000" w:rsidRPr="00000000">
              <w:rPr>
                <w:rFonts w:ascii="Avenir" w:cs="Avenir" w:eastAsia="Avenir" w:hAnsi="Avenir"/>
                <w:b w:val="1"/>
                <w:color w:val="595959"/>
                <w:rtl w:val="0"/>
              </w:rPr>
              <w:t xml:space="preserve">10</w:t>
            </w:r>
          </w:p>
        </w:tc>
      </w:tr>
    </w:tbl>
    <w:p w:rsidR="00000000" w:rsidDel="00000000" w:rsidP="00000000" w:rsidRDefault="00000000" w:rsidRPr="00000000" w14:paraId="0000013D">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3E">
      <w:pPr>
        <w:spacing w:after="160" w:line="240" w:lineRule="auto"/>
        <w:jc w:val="both"/>
        <w:rPr>
          <w:rFonts w:ascii="Avenir" w:cs="Avenir" w:eastAsia="Avenir" w:hAnsi="Avenir"/>
          <w:color w:val="366091"/>
          <w:sz w:val="28"/>
          <w:szCs w:val="28"/>
        </w:rPr>
      </w:pPr>
      <w:r w:rsidDel="00000000" w:rsidR="00000000" w:rsidRPr="00000000">
        <w:rPr>
          <w:rFonts w:ascii="Avenir" w:cs="Avenir" w:eastAsia="Avenir" w:hAnsi="Avenir"/>
          <w:color w:val="366091"/>
          <w:sz w:val="28"/>
          <w:szCs w:val="28"/>
          <w:rtl w:val="0"/>
        </w:rPr>
        <w:t xml:space="preserve">Bibliographie</w:t>
      </w:r>
    </w:p>
    <w:p w:rsidR="00000000" w:rsidDel="00000000" w:rsidP="00000000" w:rsidRDefault="00000000" w:rsidRPr="00000000" w14:paraId="0000013F">
      <w:pPr>
        <w:spacing w:after="160" w:line="240" w:lineRule="auto"/>
        <w:rPr>
          <w:rFonts w:ascii="Avenir" w:cs="Avenir" w:eastAsia="Avenir" w:hAnsi="Avenir"/>
        </w:rPr>
      </w:pPr>
      <w:r w:rsidDel="00000000" w:rsidR="00000000" w:rsidRPr="00000000">
        <w:rPr>
          <w:rFonts w:ascii="Avenir" w:cs="Avenir" w:eastAsia="Avenir" w:hAnsi="Avenir"/>
          <w:rtl w:val="0"/>
        </w:rPr>
        <w:t xml:space="preserve">Schön, D. A. (1987). Educating the reflective practitioner: Toward a new design for teaching and learning in the professions. Jossey-Bass.</w:t>
      </w:r>
    </w:p>
    <w:p w:rsidR="00000000" w:rsidDel="00000000" w:rsidP="00000000" w:rsidRDefault="00000000" w:rsidRPr="00000000" w14:paraId="00000140">
      <w:pPr>
        <w:spacing w:after="160" w:line="240" w:lineRule="auto"/>
        <w:rPr>
          <w:rFonts w:ascii="Avenir" w:cs="Avenir" w:eastAsia="Avenir" w:hAnsi="Avenir"/>
        </w:rPr>
      </w:pPr>
      <w:r w:rsidDel="00000000" w:rsidR="00000000" w:rsidRPr="00000000">
        <w:rPr>
          <w:rFonts w:ascii="Avenir" w:cs="Avenir" w:eastAsia="Avenir" w:hAnsi="Avenir"/>
          <w:rtl w:val="0"/>
        </w:rPr>
        <w:t xml:space="preserve">Bourner, T. (2003). Assessing reflective learning. Education+ training, 45(5), 267-272.</w:t>
      </w:r>
    </w:p>
    <w:p w:rsidR="00000000" w:rsidDel="00000000" w:rsidP="00000000" w:rsidRDefault="00000000" w:rsidRPr="00000000" w14:paraId="00000141">
      <w:pPr>
        <w:spacing w:after="160" w:line="240" w:lineRule="auto"/>
        <w:rPr>
          <w:rFonts w:ascii="Avenir" w:cs="Avenir" w:eastAsia="Avenir" w:hAnsi="Avenir"/>
        </w:rPr>
      </w:pPr>
      <w:r w:rsidDel="00000000" w:rsidR="00000000" w:rsidRPr="00000000">
        <w:rPr>
          <w:rFonts w:ascii="Avenir" w:cs="Avenir" w:eastAsia="Avenir" w:hAnsi="Avenir"/>
          <w:rtl w:val="0"/>
        </w:rPr>
        <w:t xml:space="preserve">Bauer, W. I., &amp; Dunn, R. E. (2003). The electronic portfolio in music teacher education. Journal of Music Teacher Education, 13(1), 7-20.</w:t>
      </w:r>
    </w:p>
    <w:p w:rsidR="00000000" w:rsidDel="00000000" w:rsidP="00000000" w:rsidRDefault="00000000" w:rsidRPr="00000000" w14:paraId="00000142">
      <w:pPr>
        <w:spacing w:after="160" w:line="240" w:lineRule="auto"/>
        <w:rPr>
          <w:rFonts w:ascii="Avenir" w:cs="Avenir" w:eastAsia="Avenir" w:hAnsi="Avenir"/>
        </w:rPr>
      </w:pPr>
      <w:r w:rsidDel="00000000" w:rsidR="00000000" w:rsidRPr="00000000">
        <w:rPr>
          <w:rFonts w:ascii="Avenir" w:cs="Avenir" w:eastAsia="Avenir" w:hAnsi="Avenir"/>
          <w:rtl w:val="0"/>
        </w:rPr>
        <w:t xml:space="preserve">Fernsten, L., &amp; Fernsten, J. (2005). Portfolio assessment and reflection: Enhancing learning through effective practice. Reflective Practice, 6(2), 303-309.</w:t>
      </w:r>
    </w:p>
    <w:p w:rsidR="00000000" w:rsidDel="00000000" w:rsidP="00000000" w:rsidRDefault="00000000" w:rsidRPr="00000000" w14:paraId="00000143">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44">
      <w:pPr>
        <w:spacing w:after="120" w:line="240" w:lineRule="auto"/>
        <w:jc w:val="both"/>
        <w:rPr>
          <w:rFonts w:ascii="Avenir" w:cs="Avenir" w:eastAsia="Avenir" w:hAnsi="Avenir"/>
          <w:color w:val="000000"/>
        </w:rPr>
      </w:pPr>
      <w:r w:rsidDel="00000000" w:rsidR="00000000" w:rsidRPr="00000000">
        <w:rPr>
          <w:rtl w:val="0"/>
        </w:rPr>
      </w:r>
    </w:p>
    <w:p w:rsidR="00000000" w:rsidDel="00000000" w:rsidP="00000000" w:rsidRDefault="00000000" w:rsidRPr="00000000" w14:paraId="00000145">
      <w:pPr>
        <w:rPr>
          <w:rFonts w:ascii="Avenir" w:cs="Avenir" w:eastAsia="Avenir" w:hAnsi="Aveni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46">
      <w:pPr>
        <w:pStyle w:val="Heading1"/>
        <w:rPr/>
      </w:pPr>
      <w:bookmarkStart w:colFirst="0" w:colLast="0" w:name="_heading=h.17dp8vu" w:id="10"/>
      <w:bookmarkEnd w:id="10"/>
      <w:r w:rsidDel="00000000" w:rsidR="00000000" w:rsidRPr="00000000">
        <w:rPr>
          <w:rtl w:val="0"/>
        </w:rPr>
        <w:t xml:space="preserve">5. INITIATIVEN ZUR FÖRDERUNG DES UMWELTBEWUSSTSEINS DER JUGEND</w:t>
      </w:r>
    </w:p>
    <w:p w:rsidR="00000000" w:rsidDel="00000000" w:rsidP="00000000" w:rsidRDefault="00000000" w:rsidRPr="00000000" w14:paraId="00000147">
      <w:pPr>
        <w:rPr>
          <w:rFonts w:ascii="Avenir" w:cs="Avenir" w:eastAsia="Avenir" w:hAnsi="Avenir"/>
          <w:b w:val="1"/>
          <w:color w:val="00613f"/>
          <w:sz w:val="32"/>
          <w:szCs w:val="32"/>
        </w:rPr>
      </w:pPr>
      <w:r w:rsidDel="00000000" w:rsidR="00000000" w:rsidRPr="00000000">
        <w:rPr>
          <w:rtl w:val="0"/>
        </w:rPr>
      </w:r>
    </w:p>
    <w:p w:rsidR="00000000" w:rsidDel="00000000" w:rsidP="00000000" w:rsidRDefault="00000000" w:rsidRPr="00000000" w14:paraId="00000148">
      <w:pPr>
        <w:pStyle w:val="Heading2"/>
        <w:rPr/>
      </w:pPr>
      <w:bookmarkStart w:colFirst="0" w:colLast="0" w:name="_heading=h.3rdcrjn" w:id="11"/>
      <w:bookmarkEnd w:id="11"/>
      <w:r w:rsidDel="00000000" w:rsidR="00000000" w:rsidRPr="00000000">
        <w:rPr>
          <w:rtl w:val="0"/>
        </w:rPr>
        <w:t xml:space="preserve">Freiwilliges Umweltjahr “FUJ” - Voluntary Environmental Year (Österreich)</w:t>
      </w:r>
    </w:p>
    <w:p w:rsidR="00000000" w:rsidDel="00000000" w:rsidP="00000000" w:rsidRDefault="00000000" w:rsidRPr="00000000" w14:paraId="00000149">
      <w:pPr>
        <w:rPr/>
      </w:pPr>
      <w:r w:rsidDel="00000000" w:rsidR="00000000" w:rsidRPr="00000000">
        <w:rPr>
          <w:rtl w:val="0"/>
        </w:rPr>
      </w:r>
    </w:p>
    <w:tbl>
      <w:tblPr>
        <w:tblStyle w:val="Table20"/>
        <w:tblW w:w="8576.0" w:type="dxa"/>
        <w:jc w:val="left"/>
        <w:tblInd w:w="284.0" w:type="dxa"/>
        <w:tblLayout w:type="fixed"/>
        <w:tblLook w:val="04A0"/>
      </w:tblPr>
      <w:tblGrid>
        <w:gridCol w:w="1798"/>
        <w:gridCol w:w="6778"/>
        <w:tblGridChange w:id="0">
          <w:tblGrid>
            <w:gridCol w:w="1798"/>
            <w:gridCol w:w="6778"/>
          </w:tblGrid>
        </w:tblGridChange>
      </w:tblGrid>
      <w:tr>
        <w:trPr>
          <w:cantSplit w:val="0"/>
          <w:tblHeader w:val="0"/>
        </w:trPr>
        <w:tc>
          <w:tcPr>
            <w:gridSpan w:val="2"/>
          </w:tcPr>
          <w:p w:rsidR="00000000" w:rsidDel="00000000" w:rsidP="00000000" w:rsidRDefault="00000000" w:rsidRPr="00000000" w14:paraId="0000014A">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Freiwilliges Umweltjahr “FUJ” - Voluntary Environmental Year</w:t>
            </w:r>
          </w:p>
        </w:tc>
      </w:tr>
      <w:tr>
        <w:trPr>
          <w:cantSplit w:val="0"/>
          <w:tblHeader w:val="0"/>
        </w:trPr>
        <w:tc>
          <w:tcPr/>
          <w:p w:rsidR="00000000" w:rsidDel="00000000" w:rsidP="00000000" w:rsidRDefault="00000000" w:rsidRPr="00000000" w14:paraId="0000014C">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LAND</w:t>
            </w:r>
          </w:p>
        </w:tc>
        <w:tc>
          <w:tcPr/>
          <w:p w:rsidR="00000000" w:rsidDel="00000000" w:rsidP="00000000" w:rsidRDefault="00000000" w:rsidRPr="00000000" w14:paraId="0000014D">
            <w:pPr>
              <w:spacing w:after="192.00000000000003"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Österreich</w:t>
            </w:r>
          </w:p>
        </w:tc>
      </w:tr>
      <w:tr>
        <w:trPr>
          <w:cantSplit w:val="0"/>
          <w:tblHeader w:val="0"/>
        </w:trPr>
        <w:tc>
          <w:tcPr/>
          <w:p w:rsidR="00000000" w:rsidDel="00000000" w:rsidP="00000000" w:rsidRDefault="00000000" w:rsidRPr="00000000" w14:paraId="0000014E">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WebSEITE</w:t>
            </w:r>
          </w:p>
        </w:tc>
        <w:tc>
          <w:tcPr/>
          <w:p w:rsidR="00000000" w:rsidDel="00000000" w:rsidP="00000000" w:rsidRDefault="00000000" w:rsidRPr="00000000" w14:paraId="0000014F">
            <w:pPr>
              <w:spacing w:after="192.00000000000003" w:before="80" w:lineRule="auto"/>
              <w:ind w:left="255" w:right="168" w:firstLine="0"/>
              <w:rPr>
                <w:rFonts w:ascii="Montserrat" w:cs="Montserrat" w:eastAsia="Montserrat" w:hAnsi="Montserrat"/>
                <w:color w:val="0000ff"/>
                <w:sz w:val="18"/>
                <w:szCs w:val="18"/>
                <w:u w:val="single"/>
              </w:rPr>
            </w:pPr>
            <w:hyperlink r:id="rId50">
              <w:r w:rsidDel="00000000" w:rsidR="00000000" w:rsidRPr="00000000">
                <w:rPr>
                  <w:rFonts w:ascii="Montserrat" w:cs="Montserrat" w:eastAsia="Montserrat" w:hAnsi="Montserrat"/>
                  <w:color w:val="0000ff"/>
                  <w:sz w:val="18"/>
                  <w:szCs w:val="18"/>
                  <w:u w:val="single"/>
                  <w:rtl w:val="0"/>
                </w:rPr>
                <w:t xml:space="preserve">https://jugendumwelt.at/fuj-home/</w:t>
              </w:r>
            </w:hyperlink>
            <w:r w:rsidDel="00000000" w:rsidR="00000000" w:rsidRPr="00000000">
              <w:rPr>
                <w:rtl w:val="0"/>
              </w:rPr>
            </w:r>
          </w:p>
        </w:tc>
      </w:tr>
      <w:tr>
        <w:trPr>
          <w:cantSplit w:val="0"/>
          <w:tblHeader w:val="0"/>
        </w:trPr>
        <w:tc>
          <w:tcPr/>
          <w:p w:rsidR="00000000" w:rsidDel="00000000" w:rsidP="00000000" w:rsidRDefault="00000000" w:rsidRPr="00000000" w14:paraId="00000150">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ZIELGRUPPE</w:t>
            </w:r>
          </w:p>
        </w:tc>
        <w:tc>
          <w:tcPr/>
          <w:p w:rsidR="00000000" w:rsidDel="00000000" w:rsidP="00000000" w:rsidRDefault="00000000" w:rsidRPr="00000000" w14:paraId="00000151">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Das FUJ bzw. das Freiwillige Ökologische Jahr richtet sich an Jugendliche, die das 18. Lebensjahr vollendet haben (Stichtag: 31. August 2023) und Interesse an Umwelt-, Naturschutz- und Nachhaltigkeitsthemen haben. Zusätzlich müssen diese Jugendlichen ein ärztliches Attest (psychische und physische Belastbarkeit für den Einsatz) mitbringen.</w:t>
            </w:r>
          </w:p>
        </w:tc>
      </w:tr>
      <w:tr>
        <w:trPr>
          <w:cantSplit w:val="0"/>
          <w:tblHeader w:val="0"/>
        </w:trPr>
        <w:tc>
          <w:tcPr/>
          <w:p w:rsidR="00000000" w:rsidDel="00000000" w:rsidP="00000000" w:rsidRDefault="00000000" w:rsidRPr="00000000" w14:paraId="00000152">
            <w:pPr>
              <w:spacing w:after="192.00000000000003"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w:t>
            </w:r>
          </w:p>
        </w:tc>
        <w:tc>
          <w:tcPr/>
          <w:p w:rsidR="00000000" w:rsidDel="00000000" w:rsidP="00000000" w:rsidRDefault="00000000" w:rsidRPr="00000000" w14:paraId="00000153">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Ziel des Freiwilligen Umweltjahres ist es, den Jugendlichen eine Alternative zum verpflichtenden Wehr- und Zivildienst in Österreich zu bieten, indem ihr Engagement für Umwelt, Naturschutz und Nachhaltigkeit unterstützt wird..</w:t>
            </w:r>
          </w:p>
        </w:tc>
      </w:tr>
      <w:tr>
        <w:trPr>
          <w:cantSplit w:val="0"/>
          <w:tblHeader w:val="0"/>
        </w:trPr>
        <w:tc>
          <w:tcPr/>
          <w:p w:rsidR="00000000" w:rsidDel="00000000" w:rsidP="00000000" w:rsidRDefault="00000000" w:rsidRPr="00000000" w14:paraId="00000154">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METHODOLOGIE</w:t>
            </w:r>
          </w:p>
        </w:tc>
        <w:tc>
          <w:tcPr/>
          <w:p w:rsidR="00000000" w:rsidDel="00000000" w:rsidP="00000000" w:rsidRDefault="00000000" w:rsidRPr="00000000" w14:paraId="00000155">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Die TeilnehmerInnen des Freiwilligen Umweltjahres sind aufgefordert, Klimaschutz-Workshops in Schulen durchzuführen, Karotten von Biofeldern zu ernten, BesucherInnen im Nationalpark zu betreuen, Daten für Forschungsprojekte auszuwerten und vieles mehr. Die Methodologie folgt einem praxisnahen Lernansatz und fördert eine breite Auswahl an Aktivitäten in einer der über 70 Organisationen in ganz Österreich, um sicherzustellen, dass die Jugendlichen Spaß haben und wichtige praktische Erfahrungen sammeln.</w:t>
            </w:r>
          </w:p>
        </w:tc>
      </w:tr>
      <w:tr>
        <w:trPr>
          <w:cantSplit w:val="0"/>
          <w:tblHeader w:val="0"/>
        </w:trPr>
        <w:tc>
          <w:tcPr/>
          <w:p w:rsidR="00000000" w:rsidDel="00000000" w:rsidP="00000000" w:rsidRDefault="00000000" w:rsidRPr="00000000" w14:paraId="00000156">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ERGEBNISSE</w:t>
            </w:r>
          </w:p>
        </w:tc>
        <w:tc>
          <w:tcPr/>
          <w:p w:rsidR="00000000" w:rsidDel="00000000" w:rsidP="00000000" w:rsidRDefault="00000000" w:rsidRPr="00000000" w14:paraId="000001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8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Jungen Menschen sollen praktische Erfahrungen und Fähigkeiten im Bereich Umweltschutz und Nachhaltigkeit vermittelt werden. Sie können sich über lokale Umweltprobleme informieren, sich an Umweltschutzaktivitäten beteiligen und praktische Fähigkeiten erwerben, die sie in ihrem täglichen Leben anwenden können.</w:t>
            </w:r>
          </w:p>
          <w:p w:rsidR="00000000" w:rsidDel="00000000" w:rsidP="00000000" w:rsidRDefault="00000000" w:rsidRPr="00000000" w14:paraId="000001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jungen Menschen die Möglichkeit zu geben, sich mit gleichgesinnten Personen und Organisationen zu vernetzen, Verbindungen aufzubauen und Kooperationen zu schaffen, die das Umweltbewusstsein und -handeln weiter fördern können.</w:t>
            </w:r>
          </w:p>
          <w:p w:rsidR="00000000" w:rsidDel="00000000" w:rsidP="00000000" w:rsidRDefault="00000000" w:rsidRPr="00000000" w14:paraId="000001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Junge Menschen sollen unterschiedliche Perspektiven und Erfahrungen kennen lernen, um das Verständnis für andere Kulturen, Lebensweisen und Werte zu fördern. Dies kann den Respekt für die Umwelt fördern und zu integrativeren und nachhaltigeren Praktiken anregen.</w:t>
            </w:r>
          </w:p>
          <w:p w:rsidR="00000000" w:rsidDel="00000000" w:rsidP="00000000" w:rsidRDefault="00000000" w:rsidRPr="00000000" w14:paraId="0000015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92.00000000000003" w:before="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Unterstützung des persönlichen Wachstums und der persönlichen Entwicklung, einschließlich der Stärkung des Selbstbewusstseins, der Führungsqualitäten und der Zielstrebigkeit, was zu einer proaktiveren und engagierteren Haltung gegenüber Umweltfragen führt.</w:t>
            </w:r>
          </w:p>
        </w:tc>
      </w:tr>
    </w:tbl>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spacing w:after="160" w:lineRule="auto"/>
        <w:jc w:val="both"/>
        <w:rPr>
          <w:color w:val="0000ff"/>
          <w:u w:val="single"/>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r>
    </w:p>
    <w:p w:rsidR="00000000" w:rsidDel="00000000" w:rsidP="00000000" w:rsidRDefault="00000000" w:rsidRPr="00000000" w14:paraId="0000015E">
      <w:pPr>
        <w:pStyle w:val="Heading2"/>
        <w:rPr/>
      </w:pPr>
      <w:bookmarkStart w:colFirst="0" w:colLast="0" w:name="_heading=h.26in1rg" w:id="12"/>
      <w:bookmarkEnd w:id="12"/>
      <w:r w:rsidDel="00000000" w:rsidR="00000000" w:rsidRPr="00000000">
        <w:rPr>
          <w:rtl w:val="0"/>
        </w:rPr>
        <w:t xml:space="preserve">Empreintes (Belgien)</w:t>
      </w:r>
    </w:p>
    <w:p w:rsidR="00000000" w:rsidDel="00000000" w:rsidP="00000000" w:rsidRDefault="00000000" w:rsidRPr="00000000" w14:paraId="0000015F">
      <w:pPr>
        <w:rPr/>
      </w:pPr>
      <w:r w:rsidDel="00000000" w:rsidR="00000000" w:rsidRPr="00000000">
        <w:rPr>
          <w:rtl w:val="0"/>
        </w:rPr>
      </w:r>
    </w:p>
    <w:tbl>
      <w:tblPr>
        <w:tblStyle w:val="Table21"/>
        <w:tblW w:w="8576.0" w:type="dxa"/>
        <w:jc w:val="left"/>
        <w:tblInd w:w="284.0" w:type="dxa"/>
        <w:tblLayout w:type="fixed"/>
        <w:tblLook w:val="04A0"/>
      </w:tblPr>
      <w:tblGrid>
        <w:gridCol w:w="1798"/>
        <w:gridCol w:w="6778"/>
        <w:tblGridChange w:id="0">
          <w:tblGrid>
            <w:gridCol w:w="1798"/>
            <w:gridCol w:w="6778"/>
          </w:tblGrid>
        </w:tblGridChange>
      </w:tblGrid>
      <w:tr>
        <w:trPr>
          <w:cantSplit w:val="0"/>
          <w:tblHeader w:val="0"/>
        </w:trPr>
        <w:tc>
          <w:tcPr>
            <w:gridSpan w:val="2"/>
          </w:tcPr>
          <w:p w:rsidR="00000000" w:rsidDel="00000000" w:rsidP="00000000" w:rsidRDefault="00000000" w:rsidRPr="00000000" w14:paraId="00000160">
            <w:pPr>
              <w:jc w:val="both"/>
              <w:rPr>
                <w:color w:val="000000"/>
              </w:rPr>
            </w:pPr>
            <w:r w:rsidDel="00000000" w:rsidR="00000000" w:rsidRPr="00000000">
              <w:rPr>
                <w:i w:val="1"/>
                <w:color w:val="000000"/>
                <w:rtl w:val="0"/>
              </w:rPr>
              <w:t xml:space="preserve">Empreintes </w:t>
            </w:r>
            <w:r w:rsidDel="00000000" w:rsidR="00000000" w:rsidRPr="00000000">
              <w:rPr>
                <w:color w:val="000000"/>
                <w:rtl w:val="0"/>
              </w:rPr>
              <w:t xml:space="preserve">(footprint)</w:t>
            </w:r>
            <w:r w:rsidDel="00000000" w:rsidR="00000000" w:rsidRPr="00000000">
              <w:rPr>
                <w:i w:val="1"/>
                <w:color w:val="000000"/>
                <w:rtl w:val="0"/>
              </w:rPr>
              <w:t xml:space="preserve">-</w:t>
            </w:r>
            <w:r w:rsidDel="00000000" w:rsidR="00000000" w:rsidRPr="00000000">
              <w:rPr>
                <w:rtl w:val="0"/>
              </w:rPr>
              <w:t xml:space="preserve"> </w:t>
            </w:r>
            <w:r w:rsidDel="00000000" w:rsidR="00000000" w:rsidRPr="00000000">
              <w:rPr>
                <w:i w:val="1"/>
                <w:color w:val="000000"/>
                <w:rtl w:val="0"/>
              </w:rPr>
              <w:t xml:space="preserve">ECO-CRACS</w:t>
            </w:r>
            <w:r w:rsidDel="00000000" w:rsidR="00000000" w:rsidRPr="00000000">
              <w:rPr>
                <w:color w:val="000000"/>
                <w:rtl w:val="0"/>
              </w:rPr>
              <w:t xml:space="preserve"> (VERANTWORTUNGSBEWUSSTE, AKTIVE, KRITISCHE UND UNTERSTÜTZENDE UMWELTBÜRGERINNEN). JUGENDBILDUNG IN BEZUG AUF DIE UMWELT (JBU) UND DEN ÜBERGANG.</w:t>
            </w:r>
          </w:p>
        </w:tc>
      </w:tr>
      <w:tr>
        <w:trPr>
          <w:cantSplit w:val="0"/>
          <w:tblHeader w:val="0"/>
        </w:trPr>
        <w:tc>
          <w:tcPr/>
          <w:p w:rsidR="00000000" w:rsidDel="00000000" w:rsidP="00000000" w:rsidRDefault="00000000" w:rsidRPr="00000000" w14:paraId="00000162">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LAND</w:t>
            </w:r>
          </w:p>
        </w:tc>
        <w:tc>
          <w:tcPr/>
          <w:p w:rsidR="00000000" w:rsidDel="00000000" w:rsidP="00000000" w:rsidRDefault="00000000" w:rsidRPr="00000000" w14:paraId="00000163">
            <w:pPr>
              <w:spacing w:after="192.00000000000003"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Belgien</w:t>
            </w:r>
          </w:p>
        </w:tc>
      </w:tr>
      <w:tr>
        <w:trPr>
          <w:cantSplit w:val="0"/>
          <w:tblHeader w:val="0"/>
        </w:trPr>
        <w:tc>
          <w:tcPr/>
          <w:p w:rsidR="00000000" w:rsidDel="00000000" w:rsidP="00000000" w:rsidRDefault="00000000" w:rsidRPr="00000000" w14:paraId="00000164">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WebSEITE</w:t>
            </w:r>
          </w:p>
        </w:tc>
        <w:tc>
          <w:tcPr/>
          <w:p w:rsidR="00000000" w:rsidDel="00000000" w:rsidP="00000000" w:rsidRDefault="00000000" w:rsidRPr="00000000" w14:paraId="00000165">
            <w:pPr>
              <w:ind w:left="271" w:right="110" w:firstLine="0"/>
              <w:jc w:val="both"/>
              <w:rPr>
                <w:rFonts w:ascii="Montserrat" w:cs="Montserrat" w:eastAsia="Montserrat" w:hAnsi="Montserrat"/>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166">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ZIELGRUPPE</w:t>
            </w:r>
          </w:p>
        </w:tc>
        <w:tc>
          <w:tcPr/>
          <w:p w:rsidR="00000000" w:rsidDel="00000000" w:rsidP="00000000" w:rsidRDefault="00000000" w:rsidRPr="00000000" w14:paraId="00000167">
            <w:pPr>
              <w:ind w:left="271" w:right="110"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Es richtet sich an Kinder, Jugendliche, junge Erwachsene, Animations- und Bildungsfachleute, Menschen in prekären Situationen und alle, die mit ihnen arbeiten. Das Projekt richtet sich auch an politische Entscheidungsträger, da es einige Aktivitäten zur Interessenvertretung organisiert.</w:t>
            </w:r>
          </w:p>
        </w:tc>
      </w:tr>
      <w:tr>
        <w:trPr>
          <w:cantSplit w:val="0"/>
          <w:tblHeader w:val="0"/>
        </w:trPr>
        <w:tc>
          <w:tcPr/>
          <w:p w:rsidR="00000000" w:rsidDel="00000000" w:rsidP="00000000" w:rsidRDefault="00000000" w:rsidRPr="00000000" w14:paraId="00000168">
            <w:pPr>
              <w:spacing w:after="192.00000000000003"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w:t>
            </w:r>
          </w:p>
        </w:tc>
        <w:tc>
          <w:tcPr/>
          <w:p w:rsidR="00000000" w:rsidDel="00000000" w:rsidP="00000000" w:rsidRDefault="00000000" w:rsidRPr="00000000" w14:paraId="00000169">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Ziel von Empreintes ist es, die Fähigkeit junger Menschen zu stärken, sich stärker in ihre Umwelt einzubringen, d. h. ihre Fähigkeit (Empowerment) und ihr Vermögen zu entwickeln, ihre Umwelt zu kennen, zu lieben, zu verstehen und dann in/mit ihr auf verantwortungsvolle Weise (mit-)zu handeln.</w:t>
            </w:r>
          </w:p>
        </w:tc>
      </w:tr>
      <w:tr>
        <w:trPr>
          <w:cantSplit w:val="0"/>
          <w:tblHeader w:val="0"/>
        </w:trPr>
        <w:tc>
          <w:tcPr/>
          <w:p w:rsidR="00000000" w:rsidDel="00000000" w:rsidP="00000000" w:rsidRDefault="00000000" w:rsidRPr="00000000" w14:paraId="0000016A">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METHODOLOGIE</w:t>
            </w:r>
          </w:p>
        </w:tc>
        <w:tc>
          <w:tcPr/>
          <w:p w:rsidR="00000000" w:rsidDel="00000000" w:rsidP="00000000" w:rsidRDefault="00000000" w:rsidRPr="00000000" w14:paraId="0000016B">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Empreintes bietet pädagogische Instrumente und Möglichkeiten zum Experimentieren. Es organisiert Praktika, Camps, Klassenspiele, Projekte in der Klasse, Schulungen zur Entdeckung einer Reihe von Methodologien und pädagogischen Hilfsmitteln.</w:t>
            </w:r>
          </w:p>
          <w:p w:rsidR="00000000" w:rsidDel="00000000" w:rsidP="00000000" w:rsidRDefault="00000000" w:rsidRPr="00000000" w14:paraId="0000016C">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Die vom Empreintes-Team organisierten Aktivitäten basieren auf fächerübergreifenden Bildungsangeboten wie: </w:t>
            </w:r>
          </w:p>
          <w:p w:rsidR="00000000" w:rsidDel="00000000" w:rsidP="00000000" w:rsidRDefault="00000000" w:rsidRPr="00000000" w14:paraId="000001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8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Entwicklung eines globalen und systemischen Ansatzes</w:t>
            </w:r>
          </w:p>
          <w:p w:rsidR="00000000" w:rsidDel="00000000" w:rsidP="00000000" w:rsidRDefault="00000000" w:rsidRPr="00000000" w14:paraId="0000016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Kritisches Denken</w:t>
            </w:r>
          </w:p>
          <w:p w:rsidR="00000000" w:rsidDel="00000000" w:rsidP="00000000" w:rsidRDefault="00000000" w:rsidRPr="00000000" w14:paraId="0000016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Der Erfahrung einen zentralen Platz einräumen</w:t>
            </w:r>
          </w:p>
          <w:p w:rsidR="00000000" w:rsidDel="00000000" w:rsidP="00000000" w:rsidRDefault="00000000" w:rsidRPr="00000000" w14:paraId="0000017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Die Verbindung zur Natur verstärken</w:t>
            </w:r>
          </w:p>
          <w:p w:rsidR="00000000" w:rsidDel="00000000" w:rsidP="00000000" w:rsidRDefault="00000000" w:rsidRPr="00000000" w14:paraId="0000017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Partnerschaft und Partizipation fördern</w:t>
            </w:r>
          </w:p>
          <w:p w:rsidR="00000000" w:rsidDel="00000000" w:rsidP="00000000" w:rsidRDefault="00000000" w:rsidRPr="00000000" w14:paraId="0000017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Gemeinsam nach Lösungen suchen und diese finden</w:t>
            </w:r>
          </w:p>
          <w:p w:rsidR="00000000" w:rsidDel="00000000" w:rsidP="00000000" w:rsidRDefault="00000000" w:rsidRPr="00000000" w14:paraId="0000017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92.00000000000003"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Bildung für Freude und Wohlbefinden.</w:t>
            </w:r>
          </w:p>
        </w:tc>
      </w:tr>
      <w:tr>
        <w:trPr>
          <w:cantSplit w:val="0"/>
          <w:tblHeader w:val="0"/>
        </w:trPr>
        <w:tc>
          <w:tcPr/>
          <w:p w:rsidR="00000000" w:rsidDel="00000000" w:rsidP="00000000" w:rsidRDefault="00000000" w:rsidRPr="00000000" w14:paraId="00000174">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ERGEBNISSE</w:t>
            </w:r>
          </w:p>
        </w:tc>
        <w:tc>
          <w:tcPr/>
          <w:p w:rsidR="00000000" w:rsidDel="00000000" w:rsidP="00000000" w:rsidRDefault="00000000" w:rsidRPr="00000000" w14:paraId="00000175">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Als Jugendorganisation mobilisiert das Empreintes-Team junge Erwachsene und befähigt sie, ECO-CRACS zu werden, d.h. verantwortliche, aktive, kritische und unterstützende UmweltbürgerInnen. </w:t>
            </w:r>
          </w:p>
          <w:p w:rsidR="00000000" w:rsidDel="00000000" w:rsidP="00000000" w:rsidRDefault="00000000" w:rsidRPr="00000000" w14:paraId="00000176">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Der ECOCRACS-Ansatz führt zu konkreten Projekten und Instrumenten, unter anderem:</w:t>
            </w:r>
          </w:p>
          <w:p w:rsidR="00000000" w:rsidDel="00000000" w:rsidP="00000000" w:rsidRDefault="00000000" w:rsidRPr="00000000" w14:paraId="00000177">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GREEN BUBBLES ist ein Magazin, das von einer Gruppe junger Menschen erdacht, geschrieben und entwickelt wurde. Es richtet sich an 15- bis 25-Jährige und soll sie informieren und zum Handeln für die Umwelt anregen.</w:t>
            </w:r>
          </w:p>
          <w:p w:rsidR="00000000" w:rsidDel="00000000" w:rsidP="00000000" w:rsidRDefault="00000000" w:rsidRPr="00000000" w14:paraId="00000178">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RZO ist das Netzwerk aktiver Studenten für die Umwelt und den SD. Das Netzwerk bringt Studenten zusammen, die sich an ihren Universitäten und Hochschulen in Wallonien und Brüssel für Umwelt und nachhaltige Entwicklung engagieren.</w:t>
            </w:r>
          </w:p>
          <w:p w:rsidR="00000000" w:rsidDel="00000000" w:rsidP="00000000" w:rsidRDefault="00000000" w:rsidRPr="00000000" w14:paraId="00000179">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AKTIONSGRUPPE &amp; MOBILISIERUNG </w:t>
            </w:r>
          </w:p>
          <w:p w:rsidR="00000000" w:rsidDel="00000000" w:rsidP="00000000" w:rsidRDefault="00000000" w:rsidRPr="00000000" w14:paraId="0000017A">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Die Aktionsgruppe besteht aus jungen Menschen, die zusammenkommen, um andere junge Menschen zu sensibilisieren, damit sie etwas für ihre Umwelt tun können.</w:t>
            </w:r>
          </w:p>
          <w:p w:rsidR="00000000" w:rsidDel="00000000" w:rsidP="00000000" w:rsidRDefault="00000000" w:rsidRPr="00000000" w14:paraId="0000017B">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PAVE (PAVEMENT) von und für junge Menschen.</w:t>
            </w:r>
          </w:p>
          <w:p w:rsidR="00000000" w:rsidDel="00000000" w:rsidP="00000000" w:rsidRDefault="00000000" w:rsidRPr="00000000" w14:paraId="0000017C">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Das Projekt "Pôle Animateurs/trices Volontaires Environnement" (PAVE) hat die Aufgabe, Kinder in der Umwelterziehung auszubilden, indem es ihnen ermöglicht, zu experimentieren. Es organisiert Animationen, Kurse, Workshops, usw.</w:t>
            </w:r>
          </w:p>
          <w:p w:rsidR="00000000" w:rsidDel="00000000" w:rsidP="00000000" w:rsidRDefault="00000000" w:rsidRPr="00000000" w14:paraId="0000017D">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 PROJEKTUNTERSTÜTZUNG</w:t>
            </w:r>
          </w:p>
          <w:p w:rsidR="00000000" w:rsidDel="00000000" w:rsidP="00000000" w:rsidRDefault="00000000" w:rsidRPr="00000000" w14:paraId="0000017E">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Empreintes bietet über ECOCRACS Unterstützung für Projekte von Jugendgruppen je nach deren Bedürfnissen und Wünschen. Die Unterstützung umfasst Hilfe bei der Suche nach Finanzmitteln, Methodologien und Werkzeugen, Kontakten und Netzwerken, theoretischen Beiträgen usw.</w:t>
            </w:r>
          </w:p>
          <w:p w:rsidR="00000000" w:rsidDel="00000000" w:rsidP="00000000" w:rsidRDefault="00000000" w:rsidRPr="00000000" w14:paraId="0000017F">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-THEMATISCHER LEITFADEN: "Kleine Gesten zur Verringerung des ökologischen Fußabdrucks".</w:t>
            </w:r>
          </w:p>
          <w:p w:rsidR="00000000" w:rsidDel="00000000" w:rsidP="00000000" w:rsidRDefault="00000000" w:rsidRPr="00000000" w14:paraId="00000180">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Empreintes-ECOCRACS bietet einen Leitfaden für die täglichen grünen Praktiken in den folgenden Bereichen:</w:t>
            </w:r>
          </w:p>
          <w:p w:rsidR="00000000" w:rsidDel="00000000" w:rsidP="00000000" w:rsidRDefault="00000000" w:rsidRPr="00000000" w14:paraId="00000181">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1. Finanzen 2. Mobilität 3. Wohnen 4. Ernährung 5. Andere Einkäufe</w:t>
            </w:r>
          </w:p>
        </w:tc>
      </w:tr>
    </w:tbl>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pStyle w:val="Heading2"/>
        <w:rPr/>
      </w:pPr>
      <w:bookmarkStart w:colFirst="0" w:colLast="0" w:name="_heading=h.lnxbz9" w:id="13"/>
      <w:bookmarkEnd w:id="13"/>
      <w:r w:rsidDel="00000000" w:rsidR="00000000" w:rsidRPr="00000000">
        <w:rPr>
          <w:rtl w:val="0"/>
        </w:rPr>
        <w:t xml:space="preserve">Programm "Grüne Flagge” (Griechenland)</w:t>
      </w:r>
    </w:p>
    <w:p w:rsidR="00000000" w:rsidDel="00000000" w:rsidP="00000000" w:rsidRDefault="00000000" w:rsidRPr="00000000" w14:paraId="00000185">
      <w:pPr>
        <w:rPr/>
      </w:pPr>
      <w:r w:rsidDel="00000000" w:rsidR="00000000" w:rsidRPr="00000000">
        <w:rPr>
          <w:rtl w:val="0"/>
        </w:rPr>
      </w:r>
    </w:p>
    <w:tbl>
      <w:tblPr>
        <w:tblStyle w:val="Table22"/>
        <w:tblW w:w="8576.0" w:type="dxa"/>
        <w:jc w:val="left"/>
        <w:tblInd w:w="284.0" w:type="dxa"/>
        <w:tblLayout w:type="fixed"/>
        <w:tblLook w:val="04A0"/>
      </w:tblPr>
      <w:tblGrid>
        <w:gridCol w:w="1798"/>
        <w:gridCol w:w="6778"/>
        <w:tblGridChange w:id="0">
          <w:tblGrid>
            <w:gridCol w:w="1798"/>
            <w:gridCol w:w="6778"/>
          </w:tblGrid>
        </w:tblGridChange>
      </w:tblGrid>
      <w:tr>
        <w:trPr>
          <w:cantSplit w:val="0"/>
          <w:tblHeader w:val="0"/>
        </w:trPr>
        <w:tc>
          <w:tcPr>
            <w:gridSpan w:val="2"/>
          </w:tcPr>
          <w:p w:rsidR="00000000" w:rsidDel="00000000" w:rsidP="00000000" w:rsidRDefault="00000000" w:rsidRPr="00000000" w14:paraId="00000186">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PROGRAMM "GRÜNE FLAGGE": EINBINDUNG DER GRIECHISCHEN JUGEND IN DEN UMWELTSCHUTZ UND NACHHALTIGE PRAKTIKEN</w:t>
            </w:r>
          </w:p>
        </w:tc>
      </w:tr>
      <w:tr>
        <w:trPr>
          <w:cantSplit w:val="0"/>
          <w:tblHeader w:val="0"/>
        </w:trPr>
        <w:tc>
          <w:tcPr/>
          <w:p w:rsidR="00000000" w:rsidDel="00000000" w:rsidP="00000000" w:rsidRDefault="00000000" w:rsidRPr="00000000" w14:paraId="00000188">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LAND</w:t>
            </w:r>
          </w:p>
        </w:tc>
        <w:tc>
          <w:tcPr/>
          <w:p w:rsidR="00000000" w:rsidDel="00000000" w:rsidP="00000000" w:rsidRDefault="00000000" w:rsidRPr="00000000" w14:paraId="00000189">
            <w:pPr>
              <w:spacing w:after="192.00000000000003"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Griechenland</w:t>
            </w:r>
          </w:p>
        </w:tc>
      </w:tr>
      <w:tr>
        <w:trPr>
          <w:cantSplit w:val="0"/>
          <w:tblHeader w:val="0"/>
        </w:trPr>
        <w:tc>
          <w:tcPr/>
          <w:p w:rsidR="00000000" w:rsidDel="00000000" w:rsidP="00000000" w:rsidRDefault="00000000" w:rsidRPr="00000000" w14:paraId="0000018A">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WebSEITE</w:t>
            </w:r>
          </w:p>
        </w:tc>
        <w:tc>
          <w:tcPr/>
          <w:p w:rsidR="00000000" w:rsidDel="00000000" w:rsidP="00000000" w:rsidRDefault="00000000" w:rsidRPr="00000000" w14:paraId="0000018B">
            <w:pPr>
              <w:spacing w:after="192.00000000000003" w:before="80" w:lineRule="auto"/>
              <w:ind w:left="255" w:right="168" w:firstLine="0"/>
              <w:rPr>
                <w:rFonts w:ascii="Montserrat" w:cs="Montserrat" w:eastAsia="Montserrat" w:hAnsi="Montserrat"/>
                <w:color w:val="0000ff"/>
                <w:sz w:val="18"/>
                <w:szCs w:val="18"/>
                <w:u w:val="single"/>
              </w:rPr>
            </w:pPr>
            <w:r w:rsidDel="00000000" w:rsidR="00000000" w:rsidRPr="00000000">
              <w:rPr>
                <w:rtl w:val="0"/>
              </w:rPr>
            </w:r>
          </w:p>
        </w:tc>
      </w:tr>
      <w:tr>
        <w:trPr>
          <w:cantSplit w:val="0"/>
          <w:tblHeader w:val="0"/>
        </w:trPr>
        <w:tc>
          <w:tcPr/>
          <w:p w:rsidR="00000000" w:rsidDel="00000000" w:rsidP="00000000" w:rsidRDefault="00000000" w:rsidRPr="00000000" w14:paraId="0000018C">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ZIELGRUPPE</w:t>
            </w:r>
          </w:p>
        </w:tc>
        <w:tc>
          <w:tcPr/>
          <w:p w:rsidR="00000000" w:rsidDel="00000000" w:rsidP="00000000" w:rsidRDefault="00000000" w:rsidRPr="00000000" w14:paraId="0000018D">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Junge Menschen in Schulen, Lehrer, Eltern, die an der Förderung des Umweltschutzes und nachhaltiger Praktiken in ihrer Schule und Gemeinde interessiert sind.</w:t>
            </w:r>
          </w:p>
        </w:tc>
      </w:tr>
      <w:tr>
        <w:trPr>
          <w:cantSplit w:val="0"/>
          <w:tblHeader w:val="0"/>
        </w:trPr>
        <w:tc>
          <w:tcPr/>
          <w:p w:rsidR="00000000" w:rsidDel="00000000" w:rsidP="00000000" w:rsidRDefault="00000000" w:rsidRPr="00000000" w14:paraId="0000018E">
            <w:pPr>
              <w:spacing w:after="192.00000000000003"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w:t>
            </w:r>
          </w:p>
        </w:tc>
        <w:tc>
          <w:tcPr/>
          <w:p w:rsidR="00000000" w:rsidDel="00000000" w:rsidP="00000000" w:rsidRDefault="00000000" w:rsidRPr="00000000" w14:paraId="0000018F">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Ziel des "Green Flag"-Programms ist es, das Umweltbewusstsein und -handeln junger Menschen in Griechenland zu fördern, indem ein Rahmen für Schulen geschaffen wird, in dem sie eine Reihe von Umweltaktivitäten durchführen können. Das Programm soll junge Menschen dazu befähigen, sich stärker für den Umweltschutz zu engagieren und Maßnahmen zu ergreifen, um ihre Auswirkungen auf die Umwelt zu verringern.</w:t>
            </w:r>
          </w:p>
          <w:p w:rsidR="00000000" w:rsidDel="00000000" w:rsidP="00000000" w:rsidRDefault="00000000" w:rsidRPr="00000000" w14:paraId="00000190">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Das Programm entspricht dem besonderen Bedürfnis der Zielgruppe, sich an sinnvollen und wirkungsvollen Aktivitäten zu beteiligen, die zur ökologischen Nachhaltigkeit beitragen. Es entspricht auch dem Bedürfnis junger Menschen, über Umweltfragen aufgeklärt und informiert zu werden und die Mittel und Ressourcen zu erhalten, um in ihren Schulen und Gemeinden aktiv zu werden.</w:t>
            </w:r>
          </w:p>
        </w:tc>
      </w:tr>
      <w:tr>
        <w:trPr>
          <w:cantSplit w:val="0"/>
          <w:tblHeader w:val="0"/>
        </w:trPr>
        <w:tc>
          <w:tcPr/>
          <w:p w:rsidR="00000000" w:rsidDel="00000000" w:rsidP="00000000" w:rsidRDefault="00000000" w:rsidRPr="00000000" w14:paraId="00000191">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METHODOLOGIE</w:t>
            </w:r>
          </w:p>
        </w:tc>
        <w:tc>
          <w:tcPr/>
          <w:p w:rsidR="00000000" w:rsidDel="00000000" w:rsidP="00000000" w:rsidRDefault="00000000" w:rsidRPr="00000000" w14:paraId="00000192">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Das "Green Flag"-Programm in Griechenland verwendet eine Methodologie, die mehrere Schritte umfasst, um junge Menschen für den Umweltschutz und nachhaltige Praktiken zu begeistern. Die wichtigsten Schritte der Methodologie sind:</w:t>
            </w:r>
          </w:p>
          <w:p w:rsidR="00000000" w:rsidDel="00000000" w:rsidP="00000000" w:rsidRDefault="00000000" w:rsidRPr="00000000" w14:paraId="00000193">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Bildung von grünen Teams: Schulen, die an dem Programm teilnehmen, werden dazu ermutigt, "Grüne Teams" zu bilden, die sich aus Schülern, Lehrern und Eltern zusammensetzen und gemeinsam Umweltprobleme in ihrer Schule und Gemeinde identifizieren und angehen.</w:t>
            </w:r>
          </w:p>
          <w:p w:rsidR="00000000" w:rsidDel="00000000" w:rsidP="00000000" w:rsidRDefault="00000000" w:rsidRPr="00000000" w14:paraId="00000194">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Umwelt-Audit: Die Grünen Teams führen ein Umweltaudit durch, um die Umweltauswirkungen ihrer Schule zu bewerten und Bereiche mit Verbesserungspotenzial zu ermitteln. Dabei werden unter anderem Daten zum Energieverbrauch, zum Abfallaufkommen, zum Wasserverbrauch und zur Artenvielfalt erfasst.</w:t>
            </w:r>
          </w:p>
          <w:p w:rsidR="00000000" w:rsidDel="00000000" w:rsidP="00000000" w:rsidRDefault="00000000" w:rsidRPr="00000000" w14:paraId="00000195">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Aktionsplan: Auf der Grundlage der Ergebnisse des Umwelt-Audits entwickeln die Grünen Teams einen Aktionsplan, in dem die Schritte beschrieben werden, die sie unternehmen werden, um die ermittelten Umweltprobleme zu lösen. Dies kann die Umsetzung von Maßnahmen zur Abfallreduzierung, zur Einsparung von Energie und Wasser, zur Förderung der Artenvielfalt und zur Förderung eines nachhaltigen Verkehrs beinhalten.</w:t>
            </w:r>
          </w:p>
          <w:p w:rsidR="00000000" w:rsidDel="00000000" w:rsidP="00000000" w:rsidRDefault="00000000" w:rsidRPr="00000000" w14:paraId="00000196">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Umsetzung: Die Grünen Teams setzen den Aktionsplan um, indem sie die im Plan beschriebenen Aktivitäten durchführen. Dies kann die Organisation von Veranstaltungen und Kampagnen zur Förderung des Umweltbewusstseins, die Umsetzung neuer Richtlinien und Verfahren zur Verringerung der Umweltbelastung und die Zusammenarbeit mit lokalen Behörden und NROs zur Lösung allgemeiner Umweltprobleme in der Gemeinde umfassen.</w:t>
            </w:r>
          </w:p>
          <w:p w:rsidR="00000000" w:rsidDel="00000000" w:rsidP="00000000" w:rsidRDefault="00000000" w:rsidRPr="00000000" w14:paraId="00000197">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Überwachung und Bewertung: Die Green Teams überwachen den Fortschritt ihrer Aktivitäten und bewerten ihre Wirksamkeit bei der Erreichung ihrer Umweltziele. Dazu gehört das Sammeln von Daten und Rückmeldungen von Interessengruppen, die Analyse der Ergebnisse und bei Bedarf die Anpassung des Aktionsplans.</w:t>
            </w:r>
          </w:p>
          <w:p w:rsidR="00000000" w:rsidDel="00000000" w:rsidP="00000000" w:rsidRDefault="00000000" w:rsidRPr="00000000" w14:paraId="00000198">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Das Programm nutzt mehrere Instrumente zur Unterstützung seiner Methodologie, darunter:</w:t>
            </w:r>
          </w:p>
          <w:p w:rsidR="00000000" w:rsidDel="00000000" w:rsidP="00000000" w:rsidRDefault="00000000" w:rsidRPr="00000000" w14:paraId="00000199">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Auszeichnung mit der Grünen Flagge: Schulen, die das Programm erfolgreich umsetzen und die von der Hellenic Society for the Protection of Nature (HSPN) aufgestellten Kriterien erfüllen, werden mit einer "Grünen Flagge" ausgezeichnet, um ihre Bemühungen um Nachhaltigkeit und Umweltschutz zu würdigen.</w:t>
            </w:r>
          </w:p>
          <w:p w:rsidR="00000000" w:rsidDel="00000000" w:rsidP="00000000" w:rsidRDefault="00000000" w:rsidRPr="00000000" w14:paraId="0000019A">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Werkzeuge für die Umweltprüfung: Das Programm bietet eine Reihe von Instrumenten und Richtlinien zur Unterstützung des Umweltauditprozesses, einschließlich Checklisten, Vorlagen und Datenerfassungsinstrumenten.</w:t>
            </w:r>
          </w:p>
          <w:p w:rsidR="00000000" w:rsidDel="00000000" w:rsidP="00000000" w:rsidRDefault="00000000" w:rsidRPr="00000000" w14:paraId="0000019B">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Vorlagen für Aktionspläne: Das Programm bietet Vorlagen und Richtlinien zur Unterstützung der Entwicklung von Aktionsplänen, einschließlich Beispielen erfolgreicher Aktivitäten, die Schulen durchgeführt haben.</w:t>
            </w:r>
          </w:p>
          <w:p w:rsidR="00000000" w:rsidDel="00000000" w:rsidP="00000000" w:rsidRDefault="00000000" w:rsidRPr="00000000" w14:paraId="0000019C">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Überwachungs- und Bewertungsinstrumente: Das Programm bietet Werkzeuge und Leitlinien zur Unterstützung des Überwachungs- und Bewertungsprozesses, einschließlich Datenerfassungsformularen, Feedback-Umfragen und Analysevorlagen.</w:t>
            </w:r>
          </w:p>
          <w:p w:rsidR="00000000" w:rsidDel="00000000" w:rsidP="00000000" w:rsidRDefault="00000000" w:rsidRPr="00000000" w14:paraId="0000019D">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Insgesamt ist die Methodologie des "Green Flag"-Projekts auf Partizipation, Zusammenarbeit und Ergebnisorientierung ausgelegt. Sie bezieht eine Reihe von Akteuren ein, darunter Jugendliche, Lehrer, Eltern, NRO und lokale Behörden, und bietet einen Rahmen für Schulen, um sinnvolle Maßnahmen zur Förderung des Umweltschutzes und nachhaltiger Praktiken zu ergreifen.</w:t>
            </w:r>
          </w:p>
        </w:tc>
      </w:tr>
      <w:tr>
        <w:trPr>
          <w:cantSplit w:val="0"/>
          <w:tblHeader w:val="0"/>
        </w:trPr>
        <w:tc>
          <w:tcPr/>
          <w:p w:rsidR="00000000" w:rsidDel="00000000" w:rsidP="00000000" w:rsidRDefault="00000000" w:rsidRPr="00000000" w14:paraId="0000019E">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ERGEBNISSE</w:t>
            </w:r>
          </w:p>
        </w:tc>
        <w:tc>
          <w:tcPr/>
          <w:p w:rsidR="00000000" w:rsidDel="00000000" w:rsidP="00000000" w:rsidRDefault="00000000" w:rsidRPr="00000000" w14:paraId="0000019F">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Stärkung des Umweltbewusstseins: Das Programm klärt Jugendliche, LehrerInnen und Eltern über Umweltfragen auf und fördert die Nachhaltigkeit als einen zentralen Wert.</w:t>
            </w:r>
          </w:p>
          <w:p w:rsidR="00000000" w:rsidDel="00000000" w:rsidP="00000000" w:rsidRDefault="00000000" w:rsidRPr="00000000" w14:paraId="000001A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8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Verbesserte Umweltkompetenzen: Das Programm bietet jungen Menschen praktische Möglichkeiten, Umweltschutz und nachhaltige Praktiken zu erlernen und anzuwenden und so ihre Umweltkenntnisse zu verbessern.</w:t>
            </w:r>
          </w:p>
          <w:p w:rsidR="00000000" w:rsidDel="00000000" w:rsidP="00000000" w:rsidRDefault="00000000" w:rsidRPr="00000000" w14:paraId="000001A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Verbesserte Gesundheit und Wohlbefinden: Das Programm fördert nachhaltige Praktiken, die die Exposition gegenüber Umweltgefahren verringern und so die Gesundheit und das Wohlbefinden der jungen Menschen verbessern.</w:t>
            </w:r>
          </w:p>
          <w:p w:rsidR="00000000" w:rsidDel="00000000" w:rsidP="00000000" w:rsidRDefault="00000000" w:rsidRPr="00000000" w14:paraId="000001A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Stärkeres bürgerschaftliches Engagement: Das Programm ermutigt zu aktiver Bürgerschaft und gemeinschaftlichem Engagement für den Umweltschutz und die nachhaltige Entwicklung und fördert so das bürgerschaftliche Engagement junger Menschen.</w:t>
            </w:r>
          </w:p>
          <w:p w:rsidR="00000000" w:rsidDel="00000000" w:rsidP="00000000" w:rsidRDefault="00000000" w:rsidRPr="00000000" w14:paraId="000001A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Nachhaltige Schulinfrastruktur: Das Programm ermutigt Schulen, energieeffiziente Praktiken anzuwenden, Abfall zu reduzieren und die biologische Vielfalt zu fördern, was zu einer nachhaltigen Schulinfrastruktur führt.</w:t>
            </w:r>
          </w:p>
          <w:p w:rsidR="00000000" w:rsidDel="00000000" w:rsidP="00000000" w:rsidRDefault="00000000" w:rsidRPr="00000000" w14:paraId="000001A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92.00000000000003" w:before="0" w:line="276" w:lineRule="auto"/>
              <w:ind w:left="720"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Anerkennung und Zertifizierung: Schulen, die das Programm erfolgreich umsetzen, erhalten eine "Grüne Flagge"-Zertifizierung, mit der ihre Bemühungen zur Förderung von Nachhaltigkeit und Umweltschutz anerkannt werden, was ihren Ruf und ihre Sichtbarkeit in der Gemeinschaft verbessern kann..</w:t>
            </w:r>
          </w:p>
          <w:p w:rsidR="00000000" w:rsidDel="00000000" w:rsidP="00000000" w:rsidRDefault="00000000" w:rsidRPr="00000000" w14:paraId="000001A5">
            <w:pPr>
              <w:spacing w:after="192.00000000000003" w:before="80" w:lineRule="auto"/>
              <w:ind w:right="168"/>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Zusammenfassend lässt sich sagen, dass das Projekt "Grüne Flagge" zur Entwicklung einer nachhaltigen und widerstandsfähigen Gesellschaft in Griechenland beiträgt, indem es junge Menschen dazu befähigt, sich für die Umwelt einzusetzen.</w:t>
            </w:r>
          </w:p>
        </w:tc>
      </w:tr>
    </w:tbl>
    <w:p w:rsidR="00000000" w:rsidDel="00000000" w:rsidP="00000000" w:rsidRDefault="00000000" w:rsidRPr="00000000" w14:paraId="000001A6">
      <w:pPr>
        <w:rPr/>
      </w:pPr>
      <w:r w:rsidDel="00000000" w:rsidR="00000000" w:rsidRPr="00000000">
        <w:rPr>
          <w:rtl w:val="0"/>
        </w:rPr>
      </w:r>
    </w:p>
    <w:p w:rsidR="00000000" w:rsidDel="00000000" w:rsidP="00000000" w:rsidRDefault="00000000" w:rsidRPr="00000000" w14:paraId="000001A7">
      <w:pPr>
        <w:rPr/>
      </w:pPr>
      <w:r w:rsidDel="00000000" w:rsidR="00000000" w:rsidRPr="00000000">
        <w:rPr>
          <w:rtl w:val="0"/>
        </w:rPr>
      </w:r>
    </w:p>
    <w:p w:rsidR="00000000" w:rsidDel="00000000" w:rsidP="00000000" w:rsidRDefault="00000000" w:rsidRPr="00000000" w14:paraId="000001A8">
      <w:pPr>
        <w:pStyle w:val="Heading2"/>
        <w:rPr/>
      </w:pPr>
      <w:bookmarkStart w:colFirst="0" w:colLast="0" w:name="_heading=h.35nkun2" w:id="14"/>
      <w:bookmarkEnd w:id="14"/>
      <w:r w:rsidDel="00000000" w:rsidR="00000000" w:rsidRPr="00000000">
        <w:rPr>
          <w:rtl w:val="0"/>
        </w:rPr>
        <w:t xml:space="preserve">Stop Food Waste (Irland)</w:t>
      </w:r>
    </w:p>
    <w:p w:rsidR="00000000" w:rsidDel="00000000" w:rsidP="00000000" w:rsidRDefault="00000000" w:rsidRPr="00000000" w14:paraId="000001A9">
      <w:pPr>
        <w:rPr/>
      </w:pPr>
      <w:r w:rsidDel="00000000" w:rsidR="00000000" w:rsidRPr="00000000">
        <w:rPr>
          <w:rtl w:val="0"/>
        </w:rPr>
      </w:r>
    </w:p>
    <w:tbl>
      <w:tblPr>
        <w:tblStyle w:val="Table23"/>
        <w:tblW w:w="8576.0" w:type="dxa"/>
        <w:jc w:val="left"/>
        <w:tblInd w:w="284.0" w:type="dxa"/>
        <w:tblLayout w:type="fixed"/>
        <w:tblLook w:val="04A0"/>
      </w:tblPr>
      <w:tblGrid>
        <w:gridCol w:w="1798"/>
        <w:gridCol w:w="6778"/>
        <w:tblGridChange w:id="0">
          <w:tblGrid>
            <w:gridCol w:w="1798"/>
            <w:gridCol w:w="6778"/>
          </w:tblGrid>
        </w:tblGridChange>
      </w:tblGrid>
      <w:tr>
        <w:trPr>
          <w:cantSplit w:val="0"/>
          <w:tblHeader w:val="0"/>
        </w:trPr>
        <w:tc>
          <w:tcPr>
            <w:gridSpan w:val="2"/>
          </w:tcPr>
          <w:p w:rsidR="00000000" w:rsidDel="00000000" w:rsidP="00000000" w:rsidRDefault="00000000" w:rsidRPr="00000000" w14:paraId="000001AA">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STOP FOOD WASTE</w:t>
            </w:r>
          </w:p>
        </w:tc>
      </w:tr>
      <w:tr>
        <w:trPr>
          <w:cantSplit w:val="0"/>
          <w:tblHeader w:val="0"/>
        </w:trPr>
        <w:tc>
          <w:tcPr/>
          <w:p w:rsidR="00000000" w:rsidDel="00000000" w:rsidP="00000000" w:rsidRDefault="00000000" w:rsidRPr="00000000" w14:paraId="000001AC">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LAND</w:t>
            </w:r>
          </w:p>
        </w:tc>
        <w:tc>
          <w:tcPr/>
          <w:p w:rsidR="00000000" w:rsidDel="00000000" w:rsidP="00000000" w:rsidRDefault="00000000" w:rsidRPr="00000000" w14:paraId="000001AD">
            <w:pPr>
              <w:spacing w:after="192.00000000000003"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Irland</w:t>
            </w:r>
          </w:p>
        </w:tc>
      </w:tr>
      <w:tr>
        <w:trPr>
          <w:cantSplit w:val="0"/>
          <w:tblHeader w:val="0"/>
        </w:trPr>
        <w:tc>
          <w:tcPr/>
          <w:p w:rsidR="00000000" w:rsidDel="00000000" w:rsidP="00000000" w:rsidRDefault="00000000" w:rsidRPr="00000000" w14:paraId="000001AE">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WebSEITE</w:t>
            </w:r>
          </w:p>
        </w:tc>
        <w:tc>
          <w:tcPr/>
          <w:p w:rsidR="00000000" w:rsidDel="00000000" w:rsidP="00000000" w:rsidRDefault="00000000" w:rsidRPr="00000000" w14:paraId="000001AF">
            <w:pPr>
              <w:spacing w:after="192.00000000000003" w:before="80" w:lineRule="auto"/>
              <w:ind w:left="255" w:right="168" w:firstLine="0"/>
              <w:rPr>
                <w:rFonts w:ascii="Montserrat" w:cs="Montserrat" w:eastAsia="Montserrat" w:hAnsi="Montserrat"/>
                <w:color w:val="0000ff"/>
                <w:sz w:val="18"/>
                <w:szCs w:val="18"/>
                <w:u w:val="single"/>
              </w:rPr>
            </w:pPr>
            <w:r w:rsidDel="00000000" w:rsidR="00000000" w:rsidRPr="00000000">
              <w:rPr>
                <w:rFonts w:ascii="Montserrat" w:cs="Montserrat" w:eastAsia="Montserrat" w:hAnsi="Montserrat"/>
                <w:sz w:val="18"/>
                <w:szCs w:val="18"/>
                <w:rtl w:val="0"/>
              </w:rPr>
              <w:t xml:space="preserve">www stopfoodwaste.ie</w:t>
            </w:r>
            <w:r w:rsidDel="00000000" w:rsidR="00000000" w:rsidRPr="00000000">
              <w:rPr>
                <w:rtl w:val="0"/>
              </w:rPr>
            </w:r>
          </w:p>
        </w:tc>
      </w:tr>
      <w:tr>
        <w:trPr>
          <w:cantSplit w:val="0"/>
          <w:tblHeader w:val="0"/>
        </w:trPr>
        <w:tc>
          <w:tcPr/>
          <w:p w:rsidR="00000000" w:rsidDel="00000000" w:rsidP="00000000" w:rsidRDefault="00000000" w:rsidRPr="00000000" w14:paraId="000001B0">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ZIELGRUPPE</w:t>
            </w:r>
          </w:p>
        </w:tc>
        <w:tc>
          <w:tcPr/>
          <w:p w:rsidR="00000000" w:rsidDel="00000000" w:rsidP="00000000" w:rsidRDefault="00000000" w:rsidRPr="00000000" w14:paraId="000001B1">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Allgemeine Öffentlichkeit. Das Projekt STOP Food Waste (Lebensmittelverschwendung) förderte die Bewirtschaftung von Lebensmittelabfällen in Irland bei einer Vielzahl von Zielgruppen, z. B. Haushalten und Unternehmen.</w:t>
            </w:r>
          </w:p>
        </w:tc>
      </w:tr>
      <w:tr>
        <w:trPr>
          <w:cantSplit w:val="0"/>
          <w:tblHeader w:val="0"/>
        </w:trPr>
        <w:tc>
          <w:tcPr/>
          <w:p w:rsidR="00000000" w:rsidDel="00000000" w:rsidP="00000000" w:rsidRDefault="00000000" w:rsidRPr="00000000" w14:paraId="000001B2">
            <w:pPr>
              <w:spacing w:after="192.00000000000003"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w:t>
            </w:r>
          </w:p>
        </w:tc>
        <w:tc>
          <w:tcPr/>
          <w:p w:rsidR="00000000" w:rsidDel="00000000" w:rsidP="00000000" w:rsidRDefault="00000000" w:rsidRPr="00000000" w14:paraId="000001B3">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Stop Food Waste (stopfoodwaste.ie) ist die nationale Kampagne zur Verringerung der Lebensmittelabfälle in irischen Haushalten, die von der Environmental Protection Agency (EPA) - Irlands wichtigster Umweltschutzorganisation - geleitet wird. </w:t>
            </w:r>
          </w:p>
          <w:p w:rsidR="00000000" w:rsidDel="00000000" w:rsidP="00000000" w:rsidRDefault="00000000" w:rsidRPr="00000000" w14:paraId="000001B4">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Durch eine Kombination aus Bildung, Schulung, Beispielen von Gleichgesinnten und einfach zu verwendenden Informationen soll das StopFoodWaste-Programm das Bewusstsein für die Problematik der Lebensmittelverschwendung schärfen und die Eigenkompostierung in ganz Irland fördern.</w:t>
            </w:r>
          </w:p>
        </w:tc>
      </w:tr>
      <w:tr>
        <w:trPr>
          <w:cantSplit w:val="0"/>
          <w:tblHeader w:val="0"/>
        </w:trPr>
        <w:tc>
          <w:tcPr/>
          <w:p w:rsidR="00000000" w:rsidDel="00000000" w:rsidP="00000000" w:rsidRDefault="00000000" w:rsidRPr="00000000" w14:paraId="000001B5">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METHODOLOGIE</w:t>
            </w:r>
          </w:p>
        </w:tc>
        <w:tc>
          <w:tcPr/>
          <w:p w:rsidR="00000000" w:rsidDel="00000000" w:rsidP="00000000" w:rsidRDefault="00000000" w:rsidRPr="00000000" w14:paraId="000001B6">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Stop Food Waste führt Sensibilisierungsinitiativen durch, um einfache Tipps und Ressourcen zu verbreiten, wie man Lebensmittel optimal nutzen, sie länger frisch halten und Lebensmittelverschwendung vermeiden kann.</w:t>
            </w:r>
          </w:p>
        </w:tc>
      </w:tr>
      <w:tr>
        <w:trPr>
          <w:cantSplit w:val="0"/>
          <w:tblHeader w:val="0"/>
        </w:trPr>
        <w:tc>
          <w:tcPr/>
          <w:p w:rsidR="00000000" w:rsidDel="00000000" w:rsidP="00000000" w:rsidRDefault="00000000" w:rsidRPr="00000000" w14:paraId="000001B7">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ERGEBNISSE</w:t>
            </w:r>
          </w:p>
        </w:tc>
        <w:tc>
          <w:tcPr/>
          <w:p w:rsidR="00000000" w:rsidDel="00000000" w:rsidP="00000000" w:rsidRDefault="00000000" w:rsidRPr="00000000" w14:paraId="000001B8">
            <w:pPr>
              <w:spacing w:after="192.00000000000003" w:before="80" w:lineRule="auto"/>
              <w:ind w:left="271"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Das im Rahmen des StopFoodWaste-Programms entwickelte Material kann unmittelbar und direkt im Rahmen des Migreendeal-Projekts eingesetzt werden, um Lehrern und Schülern zu helfen, Wissen zu vermitteln, Fähigkeiten zu entwickeln und gute Praktiken zu Hause und in der Schule zu fördern. Die Vorliebe für das im Rahmen des StopFoodWaste-Programms entwickelte Material in Bezug auf die unmittelbare, praktische und "greifbare" Nutzung wird ein ausgezeichneter Ausgangspunkt und eine Reihe von Ressourcen für die Entwicklung von Lernmaterial für Akteure der Primar- und Sekundarstufe in Bezug auf Lebensmittel- und Wasserverschwendung sein.</w:t>
            </w:r>
          </w:p>
        </w:tc>
      </w:tr>
    </w:tbl>
    <w:p w:rsidR="00000000" w:rsidDel="00000000" w:rsidP="00000000" w:rsidRDefault="00000000" w:rsidRPr="00000000" w14:paraId="000001B9">
      <w:pPr>
        <w:rPr/>
      </w:pPr>
      <w:r w:rsidDel="00000000" w:rsidR="00000000" w:rsidRPr="00000000">
        <w:rPr>
          <w:rtl w:val="0"/>
        </w:rPr>
      </w:r>
    </w:p>
    <w:p w:rsidR="00000000" w:rsidDel="00000000" w:rsidP="00000000" w:rsidRDefault="00000000" w:rsidRPr="00000000" w14:paraId="000001BA">
      <w:pPr>
        <w:rPr/>
      </w:pPr>
      <w:r w:rsidDel="00000000" w:rsidR="00000000" w:rsidRPr="00000000">
        <w:rPr>
          <w:rtl w:val="0"/>
        </w:rPr>
      </w:r>
    </w:p>
    <w:p w:rsidR="00000000" w:rsidDel="00000000" w:rsidP="00000000" w:rsidRDefault="00000000" w:rsidRPr="00000000" w14:paraId="000001BB">
      <w:pPr>
        <w:pStyle w:val="Heading2"/>
        <w:rPr/>
      </w:pPr>
      <w:bookmarkStart w:colFirst="0" w:colLast="0" w:name="_heading=h.1ksv4uv" w:id="15"/>
      <w:bookmarkEnd w:id="15"/>
      <w:r w:rsidDel="00000000" w:rsidR="00000000" w:rsidRPr="00000000">
        <w:rPr>
          <w:rtl w:val="0"/>
        </w:rPr>
        <w:t xml:space="preserve">Juventud x el Clima (Spanien)</w:t>
      </w:r>
    </w:p>
    <w:p w:rsidR="00000000" w:rsidDel="00000000" w:rsidP="00000000" w:rsidRDefault="00000000" w:rsidRPr="00000000" w14:paraId="000001BC">
      <w:pPr>
        <w:rPr>
          <w:rFonts w:ascii="Avenir" w:cs="Avenir" w:eastAsia="Avenir" w:hAnsi="Avenir"/>
          <w:b w:val="1"/>
          <w:color w:val="00613f"/>
          <w:sz w:val="14"/>
          <w:szCs w:val="14"/>
        </w:rPr>
      </w:pPr>
      <w:r w:rsidDel="00000000" w:rsidR="00000000" w:rsidRPr="00000000">
        <w:rPr>
          <w:rtl w:val="0"/>
        </w:rPr>
      </w:r>
    </w:p>
    <w:tbl>
      <w:tblPr>
        <w:tblStyle w:val="Table24"/>
        <w:tblW w:w="8672.0" w:type="dxa"/>
        <w:jc w:val="left"/>
        <w:tblInd w:w="284.0" w:type="dxa"/>
        <w:tblLayout w:type="fixed"/>
        <w:tblLook w:val="04A0"/>
      </w:tblPr>
      <w:tblGrid>
        <w:gridCol w:w="1798"/>
        <w:gridCol w:w="6874"/>
        <w:tblGridChange w:id="0">
          <w:tblGrid>
            <w:gridCol w:w="1798"/>
            <w:gridCol w:w="6874"/>
          </w:tblGrid>
        </w:tblGridChange>
      </w:tblGrid>
      <w:tr>
        <w:trPr>
          <w:cantSplit w:val="0"/>
          <w:trHeight w:val="475" w:hRule="atLeast"/>
          <w:tblHeader w:val="0"/>
        </w:trPr>
        <w:tc>
          <w:tcPr>
            <w:gridSpan w:val="2"/>
          </w:tcPr>
          <w:p w:rsidR="00000000" w:rsidDel="00000000" w:rsidP="00000000" w:rsidRDefault="00000000" w:rsidRPr="00000000" w14:paraId="000001BD">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JUVENTUD X EL CLIMA</w:t>
            </w:r>
          </w:p>
        </w:tc>
      </w:tr>
      <w:tr>
        <w:trPr>
          <w:cantSplit w:val="0"/>
          <w:trHeight w:val="499" w:hRule="atLeast"/>
          <w:tblHeader w:val="0"/>
        </w:trPr>
        <w:tc>
          <w:tcPr/>
          <w:p w:rsidR="00000000" w:rsidDel="00000000" w:rsidP="00000000" w:rsidRDefault="00000000" w:rsidRPr="00000000" w14:paraId="000001BF">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LAND</w:t>
            </w:r>
          </w:p>
        </w:tc>
        <w:tc>
          <w:tcPr/>
          <w:p w:rsidR="00000000" w:rsidDel="00000000" w:rsidP="00000000" w:rsidRDefault="00000000" w:rsidRPr="00000000" w14:paraId="000001C0">
            <w:pPr>
              <w:spacing w:after="192.00000000000003" w:before="80" w:lineRule="auto"/>
              <w:ind w:left="255" w:right="168" w:firstLine="0"/>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Irland</w:t>
            </w:r>
          </w:p>
        </w:tc>
      </w:tr>
      <w:tr>
        <w:trPr>
          <w:cantSplit w:val="0"/>
          <w:trHeight w:val="499" w:hRule="atLeast"/>
          <w:tblHeader w:val="0"/>
        </w:trPr>
        <w:tc>
          <w:tcPr/>
          <w:p w:rsidR="00000000" w:rsidDel="00000000" w:rsidP="00000000" w:rsidRDefault="00000000" w:rsidRPr="00000000" w14:paraId="000001C1">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WebSEITE</w:t>
            </w:r>
          </w:p>
        </w:tc>
        <w:tc>
          <w:tcPr/>
          <w:p w:rsidR="00000000" w:rsidDel="00000000" w:rsidP="00000000" w:rsidRDefault="00000000" w:rsidRPr="00000000" w14:paraId="000001C2">
            <w:pPr>
              <w:spacing w:after="192.00000000000003" w:before="80" w:lineRule="auto"/>
              <w:ind w:left="288" w:right="168" w:firstLine="0"/>
              <w:rPr>
                <w:rFonts w:ascii="Montserrat" w:cs="Montserrat" w:eastAsia="Montserrat" w:hAnsi="Montserrat"/>
                <w:color w:val="0000ff"/>
                <w:sz w:val="18"/>
                <w:szCs w:val="18"/>
                <w:u w:val="single"/>
              </w:rPr>
            </w:pPr>
            <w:r w:rsidDel="00000000" w:rsidR="00000000" w:rsidRPr="00000000">
              <w:rPr>
                <w:rFonts w:ascii="Montserrat" w:cs="Montserrat" w:eastAsia="Montserrat" w:hAnsi="Montserrat"/>
                <w:color w:val="0000ff"/>
                <w:sz w:val="18"/>
                <w:szCs w:val="18"/>
                <w:u w:val="single"/>
                <w:rtl w:val="0"/>
              </w:rPr>
              <w:t xml:space="preserve">https://juventudxclima.es</w:t>
            </w:r>
          </w:p>
        </w:tc>
      </w:tr>
      <w:tr>
        <w:trPr>
          <w:cantSplit w:val="0"/>
          <w:trHeight w:val="475" w:hRule="atLeast"/>
          <w:tblHeader w:val="0"/>
        </w:trPr>
        <w:tc>
          <w:tcPr/>
          <w:p w:rsidR="00000000" w:rsidDel="00000000" w:rsidP="00000000" w:rsidRDefault="00000000" w:rsidRPr="00000000" w14:paraId="000001C3">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ZIELGRUPPE</w:t>
            </w:r>
          </w:p>
        </w:tc>
        <w:tc>
          <w:tcPr/>
          <w:p w:rsidR="00000000" w:rsidDel="00000000" w:rsidP="00000000" w:rsidRDefault="00000000" w:rsidRPr="00000000" w14:paraId="000001C4">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Jugendliche</w:t>
            </w:r>
          </w:p>
        </w:tc>
      </w:tr>
      <w:tr>
        <w:trPr>
          <w:cantSplit w:val="0"/>
          <w:trHeight w:val="4376" w:hRule="atLeast"/>
          <w:tblHeader w:val="0"/>
        </w:trPr>
        <w:tc>
          <w:tcPr/>
          <w:p w:rsidR="00000000" w:rsidDel="00000000" w:rsidP="00000000" w:rsidRDefault="00000000" w:rsidRPr="00000000" w14:paraId="000001C5">
            <w:pPr>
              <w:spacing w:after="192.00000000000003" w:before="80" w:lineRule="auto"/>
              <w:jc w:val="both"/>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ZIEL</w:t>
            </w:r>
          </w:p>
        </w:tc>
        <w:tc>
          <w:tcPr/>
          <w:p w:rsidR="00000000" w:rsidDel="00000000" w:rsidP="00000000" w:rsidRDefault="00000000" w:rsidRPr="00000000" w14:paraId="000001C6">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Die Initiative Juventud x el Clima (Jugend für das Klima) in Spanien ist eine Bewegung junger Menschen, die sich für Klimaschutz und Umweltschutz einsetzen. Die Bewegung wurde von der weltweiten Jugend-Klimastreik-Bewegung inspiriert und will das Bewusstsein für die dringende Notwendigkeit schärfen, den Klimawandel anzugehen und eine nachhaltige Entwicklung zu fördern.</w:t>
            </w:r>
          </w:p>
          <w:p w:rsidR="00000000" w:rsidDel="00000000" w:rsidP="00000000" w:rsidRDefault="00000000" w:rsidRPr="00000000" w14:paraId="000001C7">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Die Hauptziele der Initiative Jugend für Klima in Spanien sind:</w:t>
            </w:r>
          </w:p>
          <w:p w:rsidR="00000000" w:rsidDel="00000000" w:rsidP="00000000" w:rsidRDefault="00000000" w:rsidRPr="00000000" w14:paraId="000001C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8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Sensibilisierung für die Auswirkungen des Klimawandels und Förderung einer nachhaltigen Entwicklung.</w:t>
            </w:r>
          </w:p>
          <w:p w:rsidR="00000000" w:rsidDel="00000000" w:rsidP="00000000" w:rsidRDefault="00000000" w:rsidRPr="00000000" w14:paraId="000001C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Von Regierungen, Unternehmen und anderen Akteuren Maßnahmen zur Verringerung der Treibhausgasemissionen und zur Abschwächung der Auswirkungen des Klimawandels zu fordern.</w:t>
            </w:r>
          </w:p>
          <w:p w:rsidR="00000000" w:rsidDel="00000000" w:rsidP="00000000" w:rsidRDefault="00000000" w:rsidRPr="00000000" w14:paraId="000001C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Förderung der Klimagerechtigkeit und Sicherstellung, dass die am meisten gefährdeten Gemeinschaften nicht unverhältnismäßig stark vom Klimawandel betroffen sind.</w:t>
            </w:r>
          </w:p>
          <w:p w:rsidR="00000000" w:rsidDel="00000000" w:rsidP="00000000" w:rsidRDefault="00000000" w:rsidRPr="00000000" w14:paraId="000001C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92.00000000000003" w:before="0" w:line="276" w:lineRule="auto"/>
              <w:ind w:left="975" w:right="168" w:hanging="360"/>
              <w:jc w:val="both"/>
              <w:rPr>
                <w:rFonts w:ascii="Montserrat" w:cs="Montserrat" w:eastAsia="Montserrat" w:hAnsi="Montserrat"/>
                <w:b w:val="0"/>
                <w:i w:val="0"/>
                <w:smallCaps w:val="0"/>
                <w:strike w:val="0"/>
                <w:color w:val="000000"/>
                <w:sz w:val="18"/>
                <w:szCs w:val="18"/>
                <w:u w:val="none"/>
                <w:shd w:fill="auto" w:val="clear"/>
                <w:vertAlign w:val="baseline"/>
              </w:rPr>
            </w:pPr>
            <w:r w:rsidDel="00000000" w:rsidR="00000000" w:rsidRPr="00000000">
              <w:rPr>
                <w:rFonts w:ascii="Montserrat" w:cs="Montserrat" w:eastAsia="Montserrat" w:hAnsi="Montserrat"/>
                <w:b w:val="0"/>
                <w:i w:val="0"/>
                <w:smallCaps w:val="0"/>
                <w:strike w:val="0"/>
                <w:color w:val="000000"/>
                <w:sz w:val="18"/>
                <w:szCs w:val="18"/>
                <w:u w:val="none"/>
                <w:shd w:fill="auto" w:val="clear"/>
                <w:vertAlign w:val="baseline"/>
                <w:rtl w:val="0"/>
              </w:rPr>
              <w:t xml:space="preserve">Junge Menschen sollen befähigt werden, eine aktive Rolle bei der Gestaltung der Klimapolitik und der Förderung einer nachhaltigen Entwicklung zu übernehmen..</w:t>
            </w:r>
          </w:p>
        </w:tc>
      </w:tr>
      <w:tr>
        <w:trPr>
          <w:cantSplit w:val="0"/>
          <w:trHeight w:val="1807" w:hRule="atLeast"/>
          <w:tblHeader w:val="0"/>
        </w:trPr>
        <w:tc>
          <w:tcPr/>
          <w:p w:rsidR="00000000" w:rsidDel="00000000" w:rsidP="00000000" w:rsidRDefault="00000000" w:rsidRPr="00000000" w14:paraId="000001CC">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METHODOLOGIE</w:t>
            </w:r>
          </w:p>
        </w:tc>
        <w:tc>
          <w:tcPr/>
          <w:p w:rsidR="00000000" w:rsidDel="00000000" w:rsidP="00000000" w:rsidRDefault="00000000" w:rsidRPr="00000000" w14:paraId="000001CD">
            <w:pPr>
              <w:spacing w:after="192.00000000000003" w:before="80" w:lineRule="auto"/>
              <w:ind w:left="255"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Die Methodologie der Initiative "Jugend für das Klima" beinhaltet Basisaktivismus, einschließlich Proteste, Demonstrationen, Streiks und andere Formen direkter Aktionen. Die Bewegung ist größtenteils über soziale Medien organisiert, wobei junge Menschen Online-Plattformen nutzen, um Unterstützung zu mobilisieren und ihre Aktivitäten zu koordinieren. Die Bewegung ist dezentralisiert, wobei lokale Gruppen und Ortsgruppen ihre eigenen Veranstaltungen und Aktivitäten organisieren.</w:t>
            </w:r>
          </w:p>
        </w:tc>
      </w:tr>
      <w:tr>
        <w:trPr>
          <w:cantSplit w:val="0"/>
          <w:trHeight w:val="2425" w:hRule="atLeast"/>
          <w:tblHeader w:val="0"/>
        </w:trPr>
        <w:tc>
          <w:tcPr/>
          <w:p w:rsidR="00000000" w:rsidDel="00000000" w:rsidP="00000000" w:rsidRDefault="00000000" w:rsidRPr="00000000" w14:paraId="000001CE">
            <w:pPr>
              <w:spacing w:after="192.00000000000003" w:before="80" w:lineRule="auto"/>
              <w:rPr>
                <w:rFonts w:ascii="Montserrat" w:cs="Montserrat" w:eastAsia="Montserrat" w:hAnsi="Montserrat"/>
                <w:i w:val="1"/>
                <w:sz w:val="18"/>
                <w:szCs w:val="18"/>
              </w:rPr>
            </w:pPr>
            <w:r w:rsidDel="00000000" w:rsidR="00000000" w:rsidRPr="00000000">
              <w:rPr>
                <w:rFonts w:ascii="Montserrat" w:cs="Montserrat" w:eastAsia="Montserrat" w:hAnsi="Montserrat"/>
                <w:i w:val="1"/>
                <w:sz w:val="18"/>
                <w:szCs w:val="18"/>
                <w:rtl w:val="0"/>
              </w:rPr>
              <w:t xml:space="preserve">ERGEBNISSE</w:t>
            </w:r>
          </w:p>
        </w:tc>
        <w:tc>
          <w:tcPr/>
          <w:p w:rsidR="00000000" w:rsidDel="00000000" w:rsidP="00000000" w:rsidRDefault="00000000" w:rsidRPr="00000000" w14:paraId="000001CF">
            <w:pPr>
              <w:spacing w:after="192.00000000000003" w:before="80" w:lineRule="auto"/>
              <w:ind w:left="271" w:right="168" w:firstLine="0"/>
              <w:jc w:val="both"/>
              <w:rPr>
                <w:rFonts w:ascii="Montserrat" w:cs="Montserrat" w:eastAsia="Montserrat" w:hAnsi="Montserrat"/>
                <w:sz w:val="18"/>
                <w:szCs w:val="18"/>
              </w:rPr>
            </w:pPr>
            <w:r w:rsidDel="00000000" w:rsidR="00000000" w:rsidRPr="00000000">
              <w:rPr>
                <w:rFonts w:ascii="Montserrat" w:cs="Montserrat" w:eastAsia="Montserrat" w:hAnsi="Montserrat"/>
                <w:sz w:val="18"/>
                <w:szCs w:val="18"/>
                <w:rtl w:val="0"/>
              </w:rPr>
              <w:t xml:space="preserve">Zu den Ergebnissen der Initiative "Jugend für das Klima" in Spanien gehören ein gesteigertes Bewusstsein für die Dringlichkeit der Klimakrise sowie ein verstärktes Engagement und Handeln junger Menschen in Fragen des Klimawandels und der Nachhaltigkeit. Der Bewegung ist es gelungen, Druck auf Regierungen und andere Interessengruppen auszuüben, damit sie Maßnahmen gegen den Klimawandel ergreifen, und sie hat dazu beigetragen, Umweltthemen in der öffentlichen Debatte mehr Gewicht zu verleihen. Die Bewegung hat auch dazu beigetragen, ein Gefühl der Selbstbestimmung und des Aktivismus unter jungen Menschen zu fördern und sie zu inspirieren, eine aktive Rolle bei der Gestaltung der Zukunft ihrer Gemeinden und des Planeten zu übernehmen.</w:t>
            </w:r>
          </w:p>
        </w:tc>
      </w:tr>
    </w:tbl>
    <w:p w:rsidR="00000000" w:rsidDel="00000000" w:rsidP="00000000" w:rsidRDefault="00000000" w:rsidRPr="00000000" w14:paraId="000001D0">
      <w:pPr>
        <w:spacing w:after="120" w:line="240" w:lineRule="auto"/>
        <w:jc w:val="both"/>
        <w:rPr>
          <w:rFonts w:ascii="Avenir" w:cs="Avenir" w:eastAsia="Avenir" w:hAnsi="Avenir"/>
          <w:color w:val="000000"/>
        </w:rPr>
      </w:pPr>
      <w:r w:rsidDel="00000000" w:rsidR="00000000" w:rsidRPr="00000000">
        <w:rPr>
          <w:rtl w:val="0"/>
        </w:rPr>
      </w:r>
    </w:p>
    <w:sectPr>
      <w:headerReference r:id="rId51" w:type="default"/>
      <w:footerReference r:id="rId52" w:type="default"/>
      <w:pgSz w:h="16838" w:w="11906" w:orient="portrait"/>
      <w:pgMar w:bottom="1417" w:top="1417" w:left="1701" w:righ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Verdana"/>
  <w:font w:name="Arial"/>
  <w:font w:name="Courier New"/>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Aveni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color w:val="000000"/>
        <w:rtl w:val="0"/>
      </w:rPr>
      <w:tab/>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1">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firstLine="708"/>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-570952</wp:posOffset>
          </wp:positionH>
          <wp:positionV relativeFrom="paragraph">
            <wp:posOffset>-148767</wp:posOffset>
          </wp:positionV>
          <wp:extent cx="651932" cy="419100"/>
          <wp:effectExtent b="0" l="0" r="0" t="0"/>
          <wp:wrapNone/>
          <wp:docPr descr="Logo&#10;&#10;Description automatically generated" id="27" name="image1.png"/>
          <a:graphic>
            <a:graphicData uri="http://schemas.openxmlformats.org/drawingml/2006/picture">
              <pic:pic>
                <pic:nvPicPr>
                  <pic:cNvPr descr="Logo&#10;&#10;Description automatically generated" id="0" name="image1.png"/>
                  <pic:cNvPicPr preferRelativeResize="0"/>
                </pic:nvPicPr>
                <pic:blipFill>
                  <a:blip r:embed="rId1"/>
                  <a:srcRect b="0" l="0" r="0" t="0"/>
                  <a:stretch>
                    <a:fillRect/>
                  </a:stretch>
                </pic:blipFill>
                <pic:spPr>
                  <a:xfrm>
                    <a:off x="0" y="0"/>
                    <a:ext cx="651932" cy="4191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975" w:hanging="360"/>
      </w:pPr>
      <w:rPr>
        <w:rFonts w:ascii="Noto Sans Symbols" w:cs="Noto Sans Symbols" w:eastAsia="Noto Sans Symbols" w:hAnsi="Noto Sans Symbols"/>
      </w:rPr>
    </w:lvl>
    <w:lvl w:ilvl="1">
      <w:start w:val="1"/>
      <w:numFmt w:val="bullet"/>
      <w:lvlText w:val="o"/>
      <w:lvlJc w:val="left"/>
      <w:pPr>
        <w:ind w:left="1695" w:hanging="360"/>
      </w:pPr>
      <w:rPr>
        <w:rFonts w:ascii="Courier New" w:cs="Courier New" w:eastAsia="Courier New" w:hAnsi="Courier New"/>
      </w:rPr>
    </w:lvl>
    <w:lvl w:ilvl="2">
      <w:start w:val="1"/>
      <w:numFmt w:val="bullet"/>
      <w:lvlText w:val="▪"/>
      <w:lvlJc w:val="left"/>
      <w:pPr>
        <w:ind w:left="2415" w:hanging="360"/>
      </w:pPr>
      <w:rPr>
        <w:rFonts w:ascii="Noto Sans Symbols" w:cs="Noto Sans Symbols" w:eastAsia="Noto Sans Symbols" w:hAnsi="Noto Sans Symbols"/>
      </w:rPr>
    </w:lvl>
    <w:lvl w:ilvl="3">
      <w:start w:val="1"/>
      <w:numFmt w:val="bullet"/>
      <w:lvlText w:val="●"/>
      <w:lvlJc w:val="left"/>
      <w:pPr>
        <w:ind w:left="3135" w:hanging="360"/>
      </w:pPr>
      <w:rPr>
        <w:rFonts w:ascii="Noto Sans Symbols" w:cs="Noto Sans Symbols" w:eastAsia="Noto Sans Symbols" w:hAnsi="Noto Sans Symbols"/>
      </w:rPr>
    </w:lvl>
    <w:lvl w:ilvl="4">
      <w:start w:val="1"/>
      <w:numFmt w:val="bullet"/>
      <w:lvlText w:val="o"/>
      <w:lvlJc w:val="left"/>
      <w:pPr>
        <w:ind w:left="3855" w:hanging="360"/>
      </w:pPr>
      <w:rPr>
        <w:rFonts w:ascii="Courier New" w:cs="Courier New" w:eastAsia="Courier New" w:hAnsi="Courier New"/>
      </w:rPr>
    </w:lvl>
    <w:lvl w:ilvl="5">
      <w:start w:val="1"/>
      <w:numFmt w:val="bullet"/>
      <w:lvlText w:val="▪"/>
      <w:lvlJc w:val="left"/>
      <w:pPr>
        <w:ind w:left="4575" w:hanging="360"/>
      </w:pPr>
      <w:rPr>
        <w:rFonts w:ascii="Noto Sans Symbols" w:cs="Noto Sans Symbols" w:eastAsia="Noto Sans Symbols" w:hAnsi="Noto Sans Symbols"/>
      </w:rPr>
    </w:lvl>
    <w:lvl w:ilvl="6">
      <w:start w:val="1"/>
      <w:numFmt w:val="bullet"/>
      <w:lvlText w:val="●"/>
      <w:lvlJc w:val="left"/>
      <w:pPr>
        <w:ind w:left="5295" w:hanging="360"/>
      </w:pPr>
      <w:rPr>
        <w:rFonts w:ascii="Noto Sans Symbols" w:cs="Noto Sans Symbols" w:eastAsia="Noto Sans Symbols" w:hAnsi="Noto Sans Symbols"/>
      </w:rPr>
    </w:lvl>
    <w:lvl w:ilvl="7">
      <w:start w:val="1"/>
      <w:numFmt w:val="bullet"/>
      <w:lvlText w:val="o"/>
      <w:lvlJc w:val="left"/>
      <w:pPr>
        <w:ind w:left="6015" w:hanging="360"/>
      </w:pPr>
      <w:rPr>
        <w:rFonts w:ascii="Courier New" w:cs="Courier New" w:eastAsia="Courier New" w:hAnsi="Courier New"/>
      </w:rPr>
    </w:lvl>
    <w:lvl w:ilvl="8">
      <w:start w:val="1"/>
      <w:numFmt w:val="bullet"/>
      <w:lvlText w:val="▪"/>
      <w:lvlJc w:val="left"/>
      <w:pPr>
        <w:ind w:left="6735" w:hanging="360"/>
      </w:pPr>
      <w:rPr>
        <w:rFonts w:ascii="Noto Sans Symbols" w:cs="Noto Sans Symbols" w:eastAsia="Noto Sans Symbols" w:hAnsi="Noto Sans Symbols"/>
      </w:rPr>
    </w:lvl>
  </w:abstractNum>
  <w:abstractNum w:abstractNumId="4">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975" w:hanging="360"/>
      </w:pPr>
      <w:rPr>
        <w:rFonts w:ascii="Noto Sans Symbols" w:cs="Noto Sans Symbols" w:eastAsia="Noto Sans Symbols" w:hAnsi="Noto Sans Symbols"/>
      </w:rPr>
    </w:lvl>
    <w:lvl w:ilvl="1">
      <w:start w:val="1"/>
      <w:numFmt w:val="bullet"/>
      <w:lvlText w:val="o"/>
      <w:lvlJc w:val="left"/>
      <w:pPr>
        <w:ind w:left="1695" w:hanging="360"/>
      </w:pPr>
      <w:rPr>
        <w:rFonts w:ascii="Courier New" w:cs="Courier New" w:eastAsia="Courier New" w:hAnsi="Courier New"/>
      </w:rPr>
    </w:lvl>
    <w:lvl w:ilvl="2">
      <w:start w:val="1"/>
      <w:numFmt w:val="bullet"/>
      <w:lvlText w:val="▪"/>
      <w:lvlJc w:val="left"/>
      <w:pPr>
        <w:ind w:left="2415" w:hanging="360"/>
      </w:pPr>
      <w:rPr>
        <w:rFonts w:ascii="Noto Sans Symbols" w:cs="Noto Sans Symbols" w:eastAsia="Noto Sans Symbols" w:hAnsi="Noto Sans Symbols"/>
      </w:rPr>
    </w:lvl>
    <w:lvl w:ilvl="3">
      <w:start w:val="1"/>
      <w:numFmt w:val="bullet"/>
      <w:lvlText w:val="●"/>
      <w:lvlJc w:val="left"/>
      <w:pPr>
        <w:ind w:left="3135" w:hanging="360"/>
      </w:pPr>
      <w:rPr>
        <w:rFonts w:ascii="Noto Sans Symbols" w:cs="Noto Sans Symbols" w:eastAsia="Noto Sans Symbols" w:hAnsi="Noto Sans Symbols"/>
      </w:rPr>
    </w:lvl>
    <w:lvl w:ilvl="4">
      <w:start w:val="1"/>
      <w:numFmt w:val="bullet"/>
      <w:lvlText w:val="o"/>
      <w:lvlJc w:val="left"/>
      <w:pPr>
        <w:ind w:left="3855" w:hanging="360"/>
      </w:pPr>
      <w:rPr>
        <w:rFonts w:ascii="Courier New" w:cs="Courier New" w:eastAsia="Courier New" w:hAnsi="Courier New"/>
      </w:rPr>
    </w:lvl>
    <w:lvl w:ilvl="5">
      <w:start w:val="1"/>
      <w:numFmt w:val="bullet"/>
      <w:lvlText w:val="▪"/>
      <w:lvlJc w:val="left"/>
      <w:pPr>
        <w:ind w:left="4575" w:hanging="360"/>
      </w:pPr>
      <w:rPr>
        <w:rFonts w:ascii="Noto Sans Symbols" w:cs="Noto Sans Symbols" w:eastAsia="Noto Sans Symbols" w:hAnsi="Noto Sans Symbols"/>
      </w:rPr>
    </w:lvl>
    <w:lvl w:ilvl="6">
      <w:start w:val="1"/>
      <w:numFmt w:val="bullet"/>
      <w:lvlText w:val="●"/>
      <w:lvlJc w:val="left"/>
      <w:pPr>
        <w:ind w:left="5295" w:hanging="360"/>
      </w:pPr>
      <w:rPr>
        <w:rFonts w:ascii="Noto Sans Symbols" w:cs="Noto Sans Symbols" w:eastAsia="Noto Sans Symbols" w:hAnsi="Noto Sans Symbols"/>
      </w:rPr>
    </w:lvl>
    <w:lvl w:ilvl="7">
      <w:start w:val="1"/>
      <w:numFmt w:val="bullet"/>
      <w:lvlText w:val="o"/>
      <w:lvlJc w:val="left"/>
      <w:pPr>
        <w:ind w:left="6015" w:hanging="360"/>
      </w:pPr>
      <w:rPr>
        <w:rFonts w:ascii="Courier New" w:cs="Courier New" w:eastAsia="Courier New" w:hAnsi="Courier New"/>
      </w:rPr>
    </w:lvl>
    <w:lvl w:ilvl="8">
      <w:start w:val="1"/>
      <w:numFmt w:val="bullet"/>
      <w:lvlText w:val="▪"/>
      <w:lvlJc w:val="left"/>
      <w:pPr>
        <w:ind w:left="6735" w:hanging="360"/>
      </w:pPr>
      <w:rPr>
        <w:rFonts w:ascii="Noto Sans Symbols" w:cs="Noto Sans Symbols" w:eastAsia="Noto Sans Symbols" w:hAnsi="Noto Sans Symbols"/>
      </w:rPr>
    </w:lvl>
  </w:abstractNum>
  <w:abstractNum w:abstractNumId="8">
    <w:lvl w:ilvl="0">
      <w:start w:val="0"/>
      <w:numFmt w:val="bullet"/>
      <w:lvlText w:val="-"/>
      <w:lvlJc w:val="left"/>
      <w:pPr>
        <w:ind w:left="720" w:hanging="360"/>
      </w:pPr>
      <w:rPr>
        <w:rFonts w:ascii="Montserrat" w:cs="Montserrat" w:eastAsia="Montserrat" w:hAnsi="Montserrat"/>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de-DE"/>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Avenir" w:cs="Avenir" w:eastAsia="Avenir" w:hAnsi="Avenir"/>
      <w:b w:val="1"/>
      <w:color w:val="0b7e3d"/>
      <w:sz w:val="28"/>
      <w:szCs w:val="28"/>
    </w:rPr>
  </w:style>
  <w:style w:type="paragraph" w:styleId="Heading2">
    <w:name w:val="heading 2"/>
    <w:basedOn w:val="Normal"/>
    <w:next w:val="Normal"/>
    <w:pPr>
      <w:keepNext w:val="1"/>
      <w:keepLines w:val="1"/>
      <w:spacing w:after="0" w:before="40" w:lineRule="auto"/>
    </w:pPr>
    <w:rPr>
      <w:rFonts w:ascii="Cambria" w:cs="Cambria" w:eastAsia="Cambria" w:hAnsi="Cambria"/>
      <w:color w:val="366091"/>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7">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8">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19">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style>
  <w:style w:type="table" w:styleId="Table20">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 w:type="table" w:styleId="Table21">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 w:type="table" w:styleId="Table22">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 w:type="table" w:styleId="Table23">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 w:type="table" w:styleId="Table24">
    <w:basedOn w:val="TableNormal"/>
    <w:pPr>
      <w:spacing w:after="0" w:line="240" w:lineRule="auto"/>
    </w:pPr>
    <w:rPr>
      <w:rFonts w:ascii="Cambria" w:cs="Cambria" w:eastAsia="Cambria" w:hAnsi="Cambria"/>
      <w:sz w:val="24"/>
      <w:szCs w:val="24"/>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smallCaps w:val="1"/>
      </w:rPr>
      <w:tcPr>
        <w:tcBorders>
          <w:right w:color="7f7f7f" w:space="0" w:sz="4" w:val="single"/>
        </w:tcBorders>
      </w:tcPr>
    </w:tblStylePr>
    <w:tblStylePr w:type="firstRow">
      <w:rPr>
        <w:b w:val="1"/>
        <w:smallCaps w:val="1"/>
      </w:rPr>
      <w:tcPr>
        <w:tcBorders>
          <w:bottom w:color="7f7f7f" w:space="0" w:sz="4" w:val="single"/>
        </w:tcBorders>
      </w:tcPr>
    </w:tblStylePr>
    <w:tblStylePr w:type="lastCol">
      <w:rPr>
        <w:b w:val="1"/>
        <w:smallCaps w:val="1"/>
      </w:rPr>
      <w:tcPr>
        <w:tcBorders>
          <w:left w:color="000000" w:space="0" w:sz="0" w:val="nil"/>
        </w:tcBorders>
      </w:tcPr>
    </w:tblStylePr>
    <w:tblStylePr w:type="lastRow">
      <w:rPr>
        <w:b w:val="1"/>
        <w:smallCaps w:val="1"/>
      </w:rPr>
      <w:tcPr>
        <w:tcBorders>
          <w:top w:color="000000" w:space="0" w:sz="0" w:val="nil"/>
        </w:tcBorders>
      </w:tcPr>
    </w:tblStylePr>
    <w:tblStylePr w:type="neCell">
      <w:tcPr>
        <w:tcBorders>
          <w:left w:color="000000" w:space="0" w:sz="0" w:val="nil"/>
        </w:tcBorders>
      </w:tcPr>
    </w:tblStylePr>
    <w:tblStylePr w:type="nwCell">
      <w:tcPr>
        <w:tcBorders>
          <w:right w:color="000000" w:space="0" w:sz="0" w:val="nil"/>
        </w:tcBorders>
      </w:tcPr>
    </w:tblStylePr>
  </w:style>
</w:styles>
</file>

<file path=word/_rels/document.xml.rels><?xml version="1.0" encoding="UTF-8" standalone="yes"?><Relationships xmlns="http://schemas.openxmlformats.org/package/2006/relationships"><Relationship Id="rId40" Type="http://schemas.openxmlformats.org/officeDocument/2006/relationships/image" Target="media/image25.png"/><Relationship Id="rId42" Type="http://schemas.openxmlformats.org/officeDocument/2006/relationships/image" Target="media/image11.png"/><Relationship Id="rId41" Type="http://schemas.openxmlformats.org/officeDocument/2006/relationships/image" Target="media/image7.png"/><Relationship Id="rId44" Type="http://schemas.openxmlformats.org/officeDocument/2006/relationships/hyperlink" Target="https://www.unaoc.org/wp-content/uploads/2018/06/Advocacy-Toolkit-for-Young-Migrants-and-Refugees.pdf" TargetMode="External"/><Relationship Id="rId43" Type="http://schemas.openxmlformats.org/officeDocument/2006/relationships/image" Target="media/image12.png"/><Relationship Id="rId46" Type="http://schemas.openxmlformats.org/officeDocument/2006/relationships/image" Target="media/image19.png"/><Relationship Id="rId45" Type="http://schemas.openxmlformats.org/officeDocument/2006/relationships/hyperlink" Target="https://www.unaoc.org/wp-content/uploads/2018/06/Advocacy-Toolkit-for-Young-Migrants-and-Refugees.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2.png"/><Relationship Id="rId48" Type="http://schemas.openxmlformats.org/officeDocument/2006/relationships/image" Target="media/image8.png"/><Relationship Id="rId47" Type="http://schemas.openxmlformats.org/officeDocument/2006/relationships/image" Target="media/image14.png"/><Relationship Id="rId49" Type="http://schemas.openxmlformats.org/officeDocument/2006/relationships/image" Target="media/image10.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1.jpg"/><Relationship Id="rId31" Type="http://schemas.openxmlformats.org/officeDocument/2006/relationships/image" Target="media/image27.png"/><Relationship Id="rId30" Type="http://schemas.openxmlformats.org/officeDocument/2006/relationships/image" Target="media/image34.png"/><Relationship Id="rId33" Type="http://schemas.openxmlformats.org/officeDocument/2006/relationships/image" Target="media/image16.png"/><Relationship Id="rId32" Type="http://schemas.openxmlformats.org/officeDocument/2006/relationships/image" Target="media/image32.png"/><Relationship Id="rId35" Type="http://schemas.openxmlformats.org/officeDocument/2006/relationships/image" Target="media/image24.png"/><Relationship Id="rId34" Type="http://schemas.openxmlformats.org/officeDocument/2006/relationships/image" Target="media/image9.png"/><Relationship Id="rId37" Type="http://schemas.openxmlformats.org/officeDocument/2006/relationships/hyperlink" Target="https://doi.org/10.3917/red.003.0151" TargetMode="External"/><Relationship Id="rId36" Type="http://schemas.openxmlformats.org/officeDocument/2006/relationships/image" Target="media/image6.png"/><Relationship Id="rId39" Type="http://schemas.openxmlformats.org/officeDocument/2006/relationships/hyperlink" Target="https://doi.org/10.3917/jie.pr1.0137" TargetMode="External"/><Relationship Id="rId38" Type="http://schemas.openxmlformats.org/officeDocument/2006/relationships/hyperlink" Target="https://doi.org/10.3917/inno.pr2.0138" TargetMode="External"/><Relationship Id="rId20" Type="http://schemas.openxmlformats.org/officeDocument/2006/relationships/image" Target="media/image30.png"/><Relationship Id="rId22" Type="http://schemas.openxmlformats.org/officeDocument/2006/relationships/hyperlink" Target="https://doi.org/10.1787/27991ec0-en" TargetMode="External"/><Relationship Id="rId21" Type="http://schemas.openxmlformats.org/officeDocument/2006/relationships/image" Target="media/image13.png"/><Relationship Id="rId24" Type="http://schemas.openxmlformats.org/officeDocument/2006/relationships/hyperlink" Target="https://doi.org/10.1787/1097a78c-en" TargetMode="External"/><Relationship Id="rId23" Type="http://schemas.openxmlformats.org/officeDocument/2006/relationships/hyperlink" Target="https://doi.org/10.1787/9789264203419-60-en" TargetMode="External"/><Relationship Id="rId26" Type="http://schemas.openxmlformats.org/officeDocument/2006/relationships/image" Target="media/image5.png"/><Relationship Id="rId25" Type="http://schemas.openxmlformats.org/officeDocument/2006/relationships/image" Target="media/image29.png"/><Relationship Id="rId28" Type="http://schemas.openxmlformats.org/officeDocument/2006/relationships/image" Target="media/image17.png"/><Relationship Id="rId27" Type="http://schemas.openxmlformats.org/officeDocument/2006/relationships/image" Target="media/image4.png"/><Relationship Id="rId29" Type="http://schemas.openxmlformats.org/officeDocument/2006/relationships/image" Target="media/image2.png"/><Relationship Id="rId51" Type="http://schemas.openxmlformats.org/officeDocument/2006/relationships/header" Target="header1.xml"/><Relationship Id="rId50" Type="http://schemas.openxmlformats.org/officeDocument/2006/relationships/hyperlink" Target="https://jugendumwelt.at/fuj-home/" TargetMode="External"/><Relationship Id="rId52" Type="http://schemas.openxmlformats.org/officeDocument/2006/relationships/footer" Target="footer1.xml"/><Relationship Id="rId11" Type="http://schemas.openxmlformats.org/officeDocument/2006/relationships/image" Target="media/image20.png"/><Relationship Id="rId10" Type="http://schemas.openxmlformats.org/officeDocument/2006/relationships/image" Target="media/image26.png"/><Relationship Id="rId13" Type="http://schemas.openxmlformats.org/officeDocument/2006/relationships/image" Target="media/image23.png"/><Relationship Id="rId12" Type="http://schemas.openxmlformats.org/officeDocument/2006/relationships/image" Target="media/image21.png"/><Relationship Id="rId15" Type="http://schemas.openxmlformats.org/officeDocument/2006/relationships/image" Target="media/image15.png"/><Relationship Id="rId14" Type="http://schemas.openxmlformats.org/officeDocument/2006/relationships/image" Target="media/image18.png"/><Relationship Id="rId17" Type="http://schemas.openxmlformats.org/officeDocument/2006/relationships/hyperlink" Target="https://ec.europa.eu/ploteus/en/content/how-does-eqf-work" TargetMode="External"/><Relationship Id="rId16" Type="http://schemas.openxmlformats.org/officeDocument/2006/relationships/image" Target="media/image3.png"/><Relationship Id="rId19" Type="http://schemas.openxmlformats.org/officeDocument/2006/relationships/image" Target="media/image33.png"/><Relationship Id="rId18" Type="http://schemas.openxmlformats.org/officeDocument/2006/relationships/image" Target="media/image28.png"/></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zB11rw/Z9Jsca7XiI5mU2kjS4Q==">CgMxLjAyCGguZ2pkZ3hzMgloLjMwajB6bGwyCWguMWZvYjl0ZTIJaC4zem55c2g3MgloLjJldDkycDAyCGgudHlqY3d0MgloLjNkeTZ2a20yCWguMXQzaDVzZjIJaC40ZDM0b2c4MgloLjJzOGV5bzEyCWguMTdkcDh2dTIJaC4zcmRjcmpuMgloLjI2aW4xcmcyCGgubG54Yno5MgloLjM1bmt1bjIyCWguMWtzdjR1djgAciExX292RWJJeGdDQWxMX09RNXNtNnJrTHRic0JaMmlyVG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